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4C9C" w14:textId="77777777" w:rsidR="00607BA6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  <w:r w:rsidRPr="003C3450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17EFE2E1" wp14:editId="68DF86DC">
            <wp:extent cx="1714500" cy="7239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BC68C" w14:textId="77777777" w:rsidR="00607BA6" w:rsidRPr="003C3450" w:rsidRDefault="00607BA6" w:rsidP="00607BA6">
      <w:pPr>
        <w:tabs>
          <w:tab w:val="center" w:pos="4536"/>
          <w:tab w:val="right" w:pos="9072"/>
        </w:tabs>
        <w:spacing w:after="0" w:line="360" w:lineRule="auto"/>
        <w:ind w:left="-284"/>
        <w:jc w:val="both"/>
        <w:rPr>
          <w:rFonts w:ascii="Calibri" w:eastAsia="Times New Roman" w:hAnsi="Calibri" w:cs="Calibri"/>
          <w:sz w:val="20"/>
          <w:szCs w:val="20"/>
          <w:lang w:val="x-none" w:eastAsia="x-none"/>
        </w:rPr>
      </w:pPr>
      <w:r>
        <w:rPr>
          <w:rFonts w:ascii="Calibri" w:eastAsia="Times New Roman" w:hAnsi="Calibri" w:cs="Calibri"/>
          <w:sz w:val="20"/>
          <w:szCs w:val="20"/>
          <w:lang w:eastAsia="x-none"/>
        </w:rPr>
        <w:t xml:space="preserve">    </w:t>
      </w:r>
      <w:r w:rsidRPr="003C3450">
        <w:rPr>
          <w:rFonts w:ascii="Calibri" w:eastAsia="Times New Roman" w:hAnsi="Calibri" w:cs="Calibri"/>
          <w:sz w:val="20"/>
          <w:szCs w:val="20"/>
          <w:lang w:val="x-none" w:eastAsia="x-none"/>
        </w:rPr>
        <w:t>Selo 120, Premantura</w:t>
      </w:r>
      <w:r w:rsidRPr="003C3450">
        <w:rPr>
          <w:rFonts w:ascii="Calibri" w:eastAsia="Times New Roman" w:hAnsi="Calibri" w:cs="Calibri"/>
          <w:sz w:val="20"/>
          <w:szCs w:val="20"/>
          <w:lang w:eastAsia="x-none"/>
        </w:rPr>
        <w:t>, 52100 Pula</w:t>
      </w:r>
    </w:p>
    <w:p w14:paraId="5C1CECCF" w14:textId="77777777" w:rsidR="00607BA6" w:rsidRPr="003C3450" w:rsidRDefault="00607BA6" w:rsidP="00607BA6">
      <w:pPr>
        <w:tabs>
          <w:tab w:val="center" w:pos="4536"/>
          <w:tab w:val="right" w:pos="9072"/>
        </w:tabs>
        <w:spacing w:after="0" w:line="240" w:lineRule="auto"/>
        <w:ind w:left="-284"/>
        <w:jc w:val="both"/>
        <w:rPr>
          <w:rFonts w:ascii="Calibri" w:eastAsia="Times New Roman" w:hAnsi="Calibri" w:cs="Calibri"/>
          <w:sz w:val="20"/>
          <w:szCs w:val="20"/>
          <w:lang w:val="x-none" w:eastAsia="x-none"/>
        </w:rPr>
      </w:pPr>
      <w:r>
        <w:rPr>
          <w:rFonts w:ascii="Calibri" w:eastAsia="Times New Roman" w:hAnsi="Calibri" w:cs="Calibri"/>
          <w:sz w:val="20"/>
          <w:szCs w:val="20"/>
          <w:lang w:eastAsia="x-none"/>
        </w:rPr>
        <w:t xml:space="preserve">    </w:t>
      </w:r>
      <w:r w:rsidRPr="003C3450">
        <w:rPr>
          <w:rFonts w:ascii="Calibri" w:eastAsia="Times New Roman" w:hAnsi="Calibri" w:cs="Calibri"/>
          <w:sz w:val="20"/>
          <w:szCs w:val="20"/>
          <w:lang w:val="x-none" w:eastAsia="x-none"/>
        </w:rPr>
        <w:t xml:space="preserve">Tel. </w:t>
      </w:r>
      <w:r w:rsidRPr="003C3450">
        <w:rPr>
          <w:rFonts w:ascii="Calibri" w:eastAsia="Times New Roman" w:hAnsi="Calibri" w:cs="Calibri"/>
          <w:sz w:val="20"/>
          <w:szCs w:val="20"/>
          <w:lang w:eastAsia="x-none"/>
        </w:rPr>
        <w:t>+</w:t>
      </w:r>
      <w:r w:rsidRPr="003C3450">
        <w:rPr>
          <w:rFonts w:ascii="Calibri" w:eastAsia="Times New Roman" w:hAnsi="Calibri" w:cs="Calibri"/>
          <w:sz w:val="20"/>
          <w:szCs w:val="20"/>
          <w:lang w:val="x-none" w:eastAsia="x-none"/>
        </w:rPr>
        <w:t>385</w:t>
      </w:r>
      <w:r w:rsidRPr="003C3450">
        <w:rPr>
          <w:rFonts w:ascii="Calibri" w:eastAsia="Times New Roman" w:hAnsi="Calibri" w:cs="Calibri"/>
          <w:sz w:val="20"/>
          <w:szCs w:val="20"/>
          <w:lang w:eastAsia="x-none"/>
        </w:rPr>
        <w:t xml:space="preserve"> </w:t>
      </w:r>
      <w:r w:rsidRPr="003C3450">
        <w:rPr>
          <w:rFonts w:ascii="Calibri" w:eastAsia="Times New Roman" w:hAnsi="Calibri" w:cs="Calibri"/>
          <w:sz w:val="20"/>
          <w:szCs w:val="20"/>
          <w:lang w:val="x-none" w:eastAsia="x-none"/>
        </w:rPr>
        <w:t>52 / 575-283</w:t>
      </w:r>
    </w:p>
    <w:p w14:paraId="5CB59617" w14:textId="77777777" w:rsidR="00607BA6" w:rsidRPr="003C3450" w:rsidRDefault="00607BA6" w:rsidP="00607BA6">
      <w:pPr>
        <w:tabs>
          <w:tab w:val="center" w:pos="4536"/>
          <w:tab w:val="right" w:pos="9072"/>
        </w:tabs>
        <w:spacing w:after="0" w:line="240" w:lineRule="auto"/>
        <w:ind w:left="-284"/>
        <w:jc w:val="both"/>
        <w:rPr>
          <w:rFonts w:ascii="Calibri" w:eastAsia="Times New Roman" w:hAnsi="Calibri" w:cs="Calibri"/>
          <w:sz w:val="20"/>
          <w:szCs w:val="20"/>
          <w:lang w:eastAsia="x-none"/>
        </w:rPr>
      </w:pPr>
      <w:r>
        <w:rPr>
          <w:rFonts w:ascii="Calibri" w:eastAsia="Times New Roman" w:hAnsi="Calibri" w:cs="Calibri"/>
          <w:sz w:val="20"/>
          <w:szCs w:val="20"/>
          <w:lang w:eastAsia="x-none"/>
        </w:rPr>
        <w:t xml:space="preserve">    </w:t>
      </w:r>
      <w:r w:rsidRPr="003C3450">
        <w:rPr>
          <w:rFonts w:ascii="Calibri" w:eastAsia="Times New Roman" w:hAnsi="Calibri" w:cs="Calibri"/>
          <w:sz w:val="20"/>
          <w:szCs w:val="20"/>
          <w:lang w:eastAsia="x-none"/>
        </w:rPr>
        <w:t>OIB 09968170983</w:t>
      </w:r>
    </w:p>
    <w:p w14:paraId="10DB9AFE" w14:textId="77777777" w:rsidR="00456482" w:rsidRDefault="00607BA6" w:rsidP="00456482">
      <w:pPr>
        <w:tabs>
          <w:tab w:val="center" w:pos="4536"/>
          <w:tab w:val="right" w:pos="9072"/>
        </w:tabs>
        <w:spacing w:after="0" w:line="240" w:lineRule="auto"/>
        <w:ind w:left="-284"/>
        <w:jc w:val="both"/>
        <w:rPr>
          <w:rFonts w:ascii="Calibri" w:eastAsia="Times New Roman" w:hAnsi="Calibri" w:cs="Calibri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hyperlink r:id="rId5" w:history="1">
        <w:r w:rsidRPr="003C3450">
          <w:rPr>
            <w:rStyle w:val="Hiperveza"/>
            <w:rFonts w:ascii="Calibri" w:eastAsia="Times New Roman" w:hAnsi="Calibri" w:cs="Calibri"/>
            <w:sz w:val="20"/>
            <w:szCs w:val="20"/>
            <w:lang w:val="x-none" w:eastAsia="x-none"/>
          </w:rPr>
          <w:t>www.kamenjak.hr</w:t>
        </w:r>
      </w:hyperlink>
    </w:p>
    <w:p w14:paraId="48AF33E6" w14:textId="2EC21FA2" w:rsidR="00456482" w:rsidRDefault="00456482" w:rsidP="00456482">
      <w:pPr>
        <w:pStyle w:val="Zaglavlje"/>
        <w:ind w:left="-284"/>
        <w:jc w:val="both"/>
        <w:rPr>
          <w:rFonts w:ascii="Calibri" w:hAnsi="Calibri" w:cs="Calibri"/>
          <w:sz w:val="20"/>
          <w:szCs w:val="20"/>
          <w:lang w:val="hr-HR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>KLASA:</w:t>
      </w:r>
      <w:r>
        <w:rPr>
          <w:rFonts w:ascii="Calibri" w:hAnsi="Calibri" w:cs="Calibri"/>
          <w:sz w:val="20"/>
          <w:szCs w:val="20"/>
          <w:lang w:val="hr-HR"/>
        </w:rPr>
        <w:t xml:space="preserve"> 400-02/22-01/0</w:t>
      </w:r>
      <w:r>
        <w:rPr>
          <w:rFonts w:ascii="Calibri" w:hAnsi="Calibri" w:cs="Calibri"/>
          <w:sz w:val="20"/>
          <w:szCs w:val="20"/>
          <w:lang w:val="hr-HR"/>
        </w:rPr>
        <w:t>1</w:t>
      </w:r>
    </w:p>
    <w:p w14:paraId="0466E85B" w14:textId="1E4D618B" w:rsidR="00456482" w:rsidRDefault="00456482" w:rsidP="00456482">
      <w:pPr>
        <w:pStyle w:val="Zaglavlje"/>
        <w:ind w:left="-284"/>
        <w:jc w:val="both"/>
        <w:rPr>
          <w:rFonts w:ascii="Calibri" w:hAnsi="Calibri" w:cs="Calibri"/>
          <w:sz w:val="20"/>
          <w:szCs w:val="20"/>
          <w:lang w:val="hr-HR"/>
        </w:rPr>
      </w:pPr>
      <w:r>
        <w:rPr>
          <w:rFonts w:ascii="Calibri" w:hAnsi="Calibri" w:cs="Calibri"/>
          <w:sz w:val="20"/>
          <w:szCs w:val="20"/>
          <w:lang w:val="hr-HR"/>
        </w:rPr>
        <w:t xml:space="preserve">    </w:t>
      </w:r>
      <w:r>
        <w:rPr>
          <w:rFonts w:ascii="Calibri" w:hAnsi="Calibri" w:cs="Calibri"/>
          <w:sz w:val="20"/>
          <w:szCs w:val="20"/>
        </w:rPr>
        <w:t xml:space="preserve">URBROJ: </w:t>
      </w:r>
      <w:r>
        <w:rPr>
          <w:rFonts w:ascii="Calibri" w:hAnsi="Calibri" w:cs="Calibri"/>
          <w:sz w:val="20"/>
          <w:szCs w:val="20"/>
          <w:lang w:val="hr-HR"/>
        </w:rPr>
        <w:t>2168/02-53/02-22-</w:t>
      </w:r>
      <w:r>
        <w:rPr>
          <w:rFonts w:ascii="Calibri" w:hAnsi="Calibri" w:cs="Calibri"/>
          <w:sz w:val="20"/>
          <w:szCs w:val="20"/>
          <w:lang w:val="hr-HR"/>
        </w:rPr>
        <w:t>2</w:t>
      </w:r>
    </w:p>
    <w:p w14:paraId="24305CF2" w14:textId="7AECB0D0" w:rsidR="00607BA6" w:rsidRPr="00456482" w:rsidRDefault="00607BA6" w:rsidP="00456482">
      <w:pPr>
        <w:tabs>
          <w:tab w:val="center" w:pos="4536"/>
          <w:tab w:val="right" w:pos="9072"/>
        </w:tabs>
        <w:spacing w:after="0" w:line="240" w:lineRule="auto"/>
        <w:ind w:left="-284"/>
        <w:jc w:val="both"/>
        <w:rPr>
          <w:rFonts w:ascii="Calibri" w:eastAsia="Times New Roman" w:hAnsi="Calibri" w:cs="Calibri"/>
          <w:sz w:val="20"/>
          <w:szCs w:val="20"/>
          <w:lang w:val="x-none" w:eastAsia="x-none"/>
        </w:rPr>
      </w:pPr>
    </w:p>
    <w:p w14:paraId="6E6A6569" w14:textId="77777777" w:rsidR="00607BA6" w:rsidRPr="003C3450" w:rsidRDefault="00607BA6" w:rsidP="00607BA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02C16183" w14:textId="77777777" w:rsidR="00607BA6" w:rsidRPr="003C3450" w:rsidRDefault="00607BA6" w:rsidP="00607BA6">
      <w:pPr>
        <w:tabs>
          <w:tab w:val="left" w:pos="531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 w:rsidRPr="003C3450">
        <w:rPr>
          <w:rFonts w:ascii="Calibri" w:eastAsia="Times New Roman" w:hAnsi="Calibri" w:cs="Calibri"/>
          <w:sz w:val="20"/>
          <w:szCs w:val="20"/>
          <w:lang w:eastAsia="hr-HR"/>
        </w:rPr>
        <w:tab/>
      </w:r>
    </w:p>
    <w:p w14:paraId="4FC69583" w14:textId="77777777" w:rsidR="00607BA6" w:rsidRPr="003C3450" w:rsidRDefault="00607BA6" w:rsidP="00607BA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1062A1E7" w14:textId="77777777" w:rsidR="00607BA6" w:rsidRPr="003C3450" w:rsidRDefault="00607BA6" w:rsidP="00607BA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32E9E732" w14:textId="77777777" w:rsidR="00607BA6" w:rsidRDefault="00607BA6" w:rsidP="00607BA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52573F8E" w14:textId="77777777" w:rsidR="00607BA6" w:rsidRPr="003C3450" w:rsidRDefault="00607BA6" w:rsidP="00607BA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782E14FB" w14:textId="77777777" w:rsidR="00607BA6" w:rsidRPr="003C3450" w:rsidRDefault="00607BA6" w:rsidP="00607BA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1AE7DEB1" w14:textId="77777777" w:rsidR="00607BA6" w:rsidRPr="003C3450" w:rsidRDefault="00607BA6" w:rsidP="00607BA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>
        <w:rPr>
          <w:rFonts w:ascii="Calibri" w:eastAsia="Times New Roman" w:hAnsi="Calibri" w:cs="Calibri"/>
          <w:b/>
          <w:sz w:val="28"/>
          <w:szCs w:val="28"/>
          <w:lang w:eastAsia="hr-HR"/>
        </w:rPr>
        <w:t xml:space="preserve">Izmjene i dopune financijskog plana </w:t>
      </w:r>
    </w:p>
    <w:p w14:paraId="4C56E95E" w14:textId="77777777" w:rsidR="00607BA6" w:rsidRPr="003C3450" w:rsidRDefault="00607BA6" w:rsidP="00607BA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3C3450">
        <w:rPr>
          <w:rFonts w:ascii="Calibri" w:eastAsia="Times New Roman" w:hAnsi="Calibri" w:cs="Calibri"/>
          <w:b/>
          <w:sz w:val="28"/>
          <w:szCs w:val="28"/>
          <w:lang w:eastAsia="hr-HR"/>
        </w:rPr>
        <w:t>za 202</w:t>
      </w:r>
      <w:r>
        <w:rPr>
          <w:rFonts w:ascii="Calibri" w:eastAsia="Times New Roman" w:hAnsi="Calibri" w:cs="Calibri"/>
          <w:b/>
          <w:sz w:val="28"/>
          <w:szCs w:val="28"/>
          <w:lang w:eastAsia="hr-HR"/>
        </w:rPr>
        <w:t>2</w:t>
      </w:r>
      <w:r w:rsidRPr="003C3450">
        <w:rPr>
          <w:rFonts w:ascii="Calibri" w:eastAsia="Times New Roman" w:hAnsi="Calibri" w:cs="Calibri"/>
          <w:b/>
          <w:sz w:val="28"/>
          <w:szCs w:val="28"/>
          <w:lang w:eastAsia="hr-HR"/>
        </w:rPr>
        <w:t>. godinu</w:t>
      </w:r>
    </w:p>
    <w:p w14:paraId="3D439669" w14:textId="77777777" w:rsidR="00607BA6" w:rsidRPr="003C3450" w:rsidRDefault="00607BA6" w:rsidP="00607BA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64EE1D1F" w14:textId="77777777" w:rsidR="00607BA6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1DE02C72" w14:textId="77777777" w:rsidR="00607BA6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3C15C065" w14:textId="77777777" w:rsidR="00607BA6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2982B843" w14:textId="77777777" w:rsidR="00607BA6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16E3A674" w14:textId="77777777" w:rsidR="00607BA6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367567E3" w14:textId="77777777" w:rsidR="00607BA6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511F4EB3" w14:textId="77777777" w:rsidR="00607BA6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391AFDB2" w14:textId="77777777" w:rsidR="00607BA6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5B83793E" w14:textId="77777777" w:rsidR="00607BA6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5DCF28B9" w14:textId="77777777" w:rsidR="00607BA6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6F5A1BF1" w14:textId="77777777" w:rsidR="00607BA6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6EEEEB7A" w14:textId="77777777" w:rsidR="00607BA6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5ECC9C22" w14:textId="77777777" w:rsidR="00607BA6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6A8EA515" w14:textId="77777777" w:rsidR="00607BA6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7D600392" w14:textId="77777777" w:rsidR="00607BA6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6775FC49" w14:textId="77777777" w:rsidR="00607BA6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345C6D4A" w14:textId="77777777" w:rsidR="00B40112" w:rsidRPr="00B40112" w:rsidRDefault="00B40112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58D97185" w14:textId="77777777" w:rsidR="00607BA6" w:rsidRPr="00B40112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  <w:r w:rsidRPr="00B40112">
        <w:rPr>
          <w:rFonts w:cstheme="minorHAnsi"/>
          <w:sz w:val="18"/>
          <w:szCs w:val="18"/>
        </w:rPr>
        <w:t>Predlažu se izmjene i dopune Financijskog plana za 2022. godinu kako je prikazano u nastavku.</w:t>
      </w:r>
    </w:p>
    <w:p w14:paraId="28E4D9A7" w14:textId="77777777" w:rsidR="00B40112" w:rsidRPr="00B40112" w:rsidRDefault="00B40112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  <w:r w:rsidRPr="00B40112">
        <w:rPr>
          <w:rFonts w:cstheme="minorHAnsi"/>
          <w:sz w:val="18"/>
          <w:szCs w:val="18"/>
        </w:rPr>
        <w:t>Tablica 2.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816"/>
        <w:gridCol w:w="889"/>
        <w:gridCol w:w="4669"/>
        <w:gridCol w:w="1418"/>
        <w:gridCol w:w="1417"/>
      </w:tblGrid>
      <w:tr w:rsidR="00B10E64" w:rsidRPr="00B40112" w14:paraId="114DB2A0" w14:textId="77777777" w:rsidTr="00C9337F">
        <w:trPr>
          <w:trHeight w:val="5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7EA971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3742B9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SKUPINA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07719F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VRSTA PRIHODA / RASHODA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9EC65E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CC350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REBALANS 2022</w:t>
            </w:r>
          </w:p>
        </w:tc>
      </w:tr>
      <w:tr w:rsidR="00B10E64" w:rsidRPr="00B40112" w14:paraId="30D2FD9C" w14:textId="77777777" w:rsidTr="00C9337F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CA6071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E2B15C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BAD5E3" w14:textId="77777777" w:rsidR="00B10E64" w:rsidRPr="00B40112" w:rsidRDefault="00B10E64" w:rsidP="00B10E64">
            <w:pPr>
              <w:spacing w:after="0" w:line="240" w:lineRule="auto"/>
              <w:ind w:firstLineChars="100" w:firstLine="18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AC3988" w14:textId="77777777" w:rsidR="00B10E64" w:rsidRPr="00B40112" w:rsidRDefault="00B10E64" w:rsidP="00B10E64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10.332.212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280EF8" w14:textId="77777777" w:rsidR="00B10E64" w:rsidRPr="00B40112" w:rsidRDefault="00B10E64" w:rsidP="00B10E64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11.221.772</w:t>
            </w:r>
          </w:p>
        </w:tc>
      </w:tr>
      <w:tr w:rsidR="00B10E64" w:rsidRPr="00B40112" w14:paraId="260CE613" w14:textId="77777777" w:rsidTr="00C9337F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2862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01DB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E089F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prodaje roba i pružanja usluga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A257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B0B6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80.000</w:t>
            </w:r>
          </w:p>
        </w:tc>
      </w:tr>
      <w:tr w:rsidR="00B10E64" w:rsidRPr="00B40112" w14:paraId="3CAB97AD" w14:textId="77777777" w:rsidTr="00C9337F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23F8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ABE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9B935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0C75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9.645.600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B50E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10.368.160</w:t>
            </w:r>
          </w:p>
        </w:tc>
      </w:tr>
      <w:tr w:rsidR="00B10E64" w:rsidRPr="00B40112" w14:paraId="2F5A3029" w14:textId="77777777" w:rsidTr="00C9337F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AD87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DA2D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DCAC9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6414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0BAF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17.000</w:t>
            </w:r>
          </w:p>
        </w:tc>
      </w:tr>
      <w:tr w:rsidR="00B10E64" w:rsidRPr="00B40112" w14:paraId="62D4F1EA" w14:textId="77777777" w:rsidTr="00C9337F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6AD7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7AB1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8C82B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Prihodi od donacija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FABA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606.612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AFF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606.612</w:t>
            </w:r>
          </w:p>
        </w:tc>
      </w:tr>
      <w:tr w:rsidR="00B10E64" w:rsidRPr="00B40112" w14:paraId="251B8407" w14:textId="77777777" w:rsidTr="00C9337F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093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26D4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25B2D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 prihodi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7DC0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15A0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150.000</w:t>
            </w:r>
          </w:p>
        </w:tc>
      </w:tr>
      <w:tr w:rsidR="00B10E64" w:rsidRPr="00B40112" w14:paraId="5628037D" w14:textId="77777777" w:rsidTr="00C9337F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A4BF69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4FE1D4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597752F" w14:textId="77777777" w:rsidR="00B10E64" w:rsidRPr="00B40112" w:rsidRDefault="00B10E64" w:rsidP="00B10E64">
            <w:pPr>
              <w:spacing w:after="0" w:line="240" w:lineRule="auto"/>
              <w:ind w:firstLineChars="100" w:firstLine="18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774684" w14:textId="77777777" w:rsidR="00B10E64" w:rsidRPr="00B40112" w:rsidRDefault="00B10E64" w:rsidP="00B10E64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14.695.118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D929DD" w14:textId="77777777" w:rsidR="00B10E64" w:rsidRPr="00B40112" w:rsidRDefault="00B10E64" w:rsidP="00B10E64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11.570.768</w:t>
            </w:r>
          </w:p>
        </w:tc>
      </w:tr>
      <w:tr w:rsidR="00B10E64" w:rsidRPr="00B40112" w14:paraId="4CE8326F" w14:textId="77777777" w:rsidTr="00C9337F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A428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72E4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C5EEE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za radnike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C2F3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3.880.000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D319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4.005.000</w:t>
            </w:r>
          </w:p>
        </w:tc>
      </w:tr>
      <w:tr w:rsidR="00B10E64" w:rsidRPr="00B40112" w14:paraId="4A2D50D0" w14:textId="77777777" w:rsidTr="00C9337F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9B0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84D9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276B7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B07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10.269.918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BF80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6.220.568</w:t>
            </w:r>
          </w:p>
        </w:tc>
      </w:tr>
      <w:tr w:rsidR="00B10E64" w:rsidRPr="00B40112" w14:paraId="36FA7D11" w14:textId="77777777" w:rsidTr="00C9337F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280F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1E3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A6485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amortizacije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211B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B3AB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1.200.000</w:t>
            </w:r>
          </w:p>
        </w:tc>
      </w:tr>
      <w:tr w:rsidR="00B10E64" w:rsidRPr="00B40112" w14:paraId="1AA8783D" w14:textId="77777777" w:rsidTr="00C9337F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B5C4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E9B6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3A5DC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259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86.200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699D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86.200</w:t>
            </w:r>
          </w:p>
        </w:tc>
      </w:tr>
      <w:tr w:rsidR="00B10E64" w:rsidRPr="00B40112" w14:paraId="3FAD7F02" w14:textId="77777777" w:rsidTr="00C9337F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8B95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1A7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DD413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Sponzorstvo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9D6B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D469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30.000</w:t>
            </w:r>
          </w:p>
        </w:tc>
      </w:tr>
      <w:tr w:rsidR="00B10E64" w:rsidRPr="00B40112" w14:paraId="2EEDEA75" w14:textId="77777777" w:rsidTr="00C9337F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58C6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718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1549A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6C78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E6E0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29.000</w:t>
            </w:r>
          </w:p>
        </w:tc>
      </w:tr>
      <w:tr w:rsidR="00B10E64" w:rsidRPr="00B40112" w14:paraId="5D1F766D" w14:textId="77777777" w:rsidTr="00C9337F">
        <w:trPr>
          <w:trHeight w:val="40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4849A1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3D93C0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D59D7FC" w14:textId="77777777" w:rsidR="00B10E64" w:rsidRPr="00B40112" w:rsidRDefault="00B10E64" w:rsidP="00B10E64">
            <w:pPr>
              <w:spacing w:after="0" w:line="240" w:lineRule="auto"/>
              <w:ind w:firstLineChars="100" w:firstLine="181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Vlastiti izvori - višak prihoda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BFB0F8" w14:textId="77777777" w:rsidR="00B10E64" w:rsidRPr="00B40112" w:rsidRDefault="00B10E64" w:rsidP="00B10E64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4.003.094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F4EC70" w14:textId="77777777" w:rsidR="00B10E64" w:rsidRPr="00B40112" w:rsidRDefault="00B10E64" w:rsidP="00B10E64">
            <w:pPr>
              <w:spacing w:after="0" w:line="240" w:lineRule="auto"/>
              <w:ind w:firstLineChars="100" w:firstLine="181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8.017.004</w:t>
            </w:r>
          </w:p>
        </w:tc>
      </w:tr>
      <w:tr w:rsidR="00B10E64" w:rsidRPr="00B40112" w14:paraId="4FAF7BB4" w14:textId="77777777" w:rsidTr="00C9337F">
        <w:trPr>
          <w:trHeight w:val="2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976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62FE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07CEC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Rezultat poslovanja - višak/manjak tekuće godine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2A9F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-4.362.906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FB24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-348.996</w:t>
            </w:r>
          </w:p>
        </w:tc>
      </w:tr>
      <w:tr w:rsidR="00B10E64" w:rsidRPr="00B40112" w14:paraId="5347B07C" w14:textId="77777777" w:rsidTr="00C9337F"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8A40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7544" w14:textId="77777777" w:rsidR="00B10E64" w:rsidRPr="00B40112" w:rsidRDefault="00B10E64" w:rsidP="00B1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49E7F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Rezultat poslovanja - višak iz prethodnih godina- 8.491.000-125.000 donacija DV fasada 75.000,00 </w:t>
            </w:r>
            <w:proofErr w:type="spellStart"/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kn+kabel</w:t>
            </w:r>
            <w:proofErr w:type="spellEnd"/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 50.000,00 kn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6473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8.366.000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26C" w14:textId="77777777" w:rsidR="00B10E64" w:rsidRPr="00B40112" w:rsidRDefault="00B10E64" w:rsidP="00B10E64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8.366.000</w:t>
            </w:r>
          </w:p>
        </w:tc>
      </w:tr>
    </w:tbl>
    <w:p w14:paraId="004A6A6E" w14:textId="77777777" w:rsidR="00607BA6" w:rsidRPr="00B40112" w:rsidRDefault="00607BA6" w:rsidP="00607BA6">
      <w:pPr>
        <w:rPr>
          <w:sz w:val="18"/>
          <w:szCs w:val="18"/>
        </w:rPr>
      </w:pPr>
    </w:p>
    <w:p w14:paraId="41E1A839" w14:textId="77777777" w:rsidR="00607BA6" w:rsidRPr="00B40112" w:rsidRDefault="00607BA6" w:rsidP="00607BA6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18"/>
          <w:szCs w:val="18"/>
        </w:rPr>
      </w:pPr>
    </w:p>
    <w:p w14:paraId="08FF5746" w14:textId="77777777" w:rsidR="00607BA6" w:rsidRPr="00B40112" w:rsidRDefault="00607BA6" w:rsidP="00607BA6">
      <w:pPr>
        <w:rPr>
          <w:rFonts w:cstheme="minorHAnsi"/>
          <w:sz w:val="18"/>
          <w:szCs w:val="18"/>
        </w:rPr>
      </w:pPr>
      <w:r w:rsidRPr="00B40112">
        <w:rPr>
          <w:rFonts w:cstheme="minorHAnsi"/>
          <w:sz w:val="18"/>
          <w:szCs w:val="18"/>
        </w:rPr>
        <w:t xml:space="preserve">Temeljem navedenih izmjena Financijskog plana za 2022. godinu iznos planiranih prihoda povećava se sa prvotno planiranih 10.332,212 kn </w:t>
      </w:r>
      <w:proofErr w:type="spellStart"/>
      <w:r w:rsidRPr="00B40112">
        <w:rPr>
          <w:rFonts w:cstheme="minorHAnsi"/>
          <w:sz w:val="18"/>
          <w:szCs w:val="18"/>
        </w:rPr>
        <w:t>kn</w:t>
      </w:r>
      <w:proofErr w:type="spellEnd"/>
      <w:r w:rsidRPr="00B40112">
        <w:rPr>
          <w:rFonts w:cstheme="minorHAnsi"/>
          <w:sz w:val="18"/>
          <w:szCs w:val="18"/>
        </w:rPr>
        <w:t xml:space="preserve"> na 1</w:t>
      </w:r>
      <w:r w:rsidR="00B10E64" w:rsidRPr="00B40112">
        <w:rPr>
          <w:rFonts w:cstheme="minorHAnsi"/>
          <w:sz w:val="18"/>
          <w:szCs w:val="18"/>
        </w:rPr>
        <w:t xml:space="preserve">1.221.772 </w:t>
      </w:r>
      <w:r w:rsidRPr="00B40112">
        <w:rPr>
          <w:rFonts w:cstheme="minorHAnsi"/>
          <w:sz w:val="18"/>
          <w:szCs w:val="18"/>
        </w:rPr>
        <w:t xml:space="preserve"> kn odnosno za  </w:t>
      </w:r>
      <w:r w:rsidR="00B10E64" w:rsidRPr="00B40112">
        <w:rPr>
          <w:rFonts w:cstheme="minorHAnsi"/>
          <w:sz w:val="18"/>
          <w:szCs w:val="18"/>
        </w:rPr>
        <w:t>889.560</w:t>
      </w:r>
      <w:r w:rsidRPr="00B40112">
        <w:rPr>
          <w:rFonts w:cstheme="minorHAnsi"/>
          <w:sz w:val="18"/>
          <w:szCs w:val="18"/>
        </w:rPr>
        <w:t xml:space="preserve"> kn. Iznos planiranih rashoda smanjuje se sa s prvotno planiranih 14.695.118 kn na 11.570.768  kn odnosno za 3.124.350 kn.  </w:t>
      </w:r>
    </w:p>
    <w:p w14:paraId="46C3BBA5" w14:textId="77777777" w:rsidR="00607BA6" w:rsidRPr="00B40112" w:rsidRDefault="00607BA6" w:rsidP="00607BA6">
      <w:pPr>
        <w:rPr>
          <w:rFonts w:cstheme="minorHAnsi"/>
          <w:sz w:val="18"/>
          <w:szCs w:val="18"/>
        </w:rPr>
      </w:pPr>
      <w:r w:rsidRPr="00B40112">
        <w:rPr>
          <w:rFonts w:cstheme="minorHAnsi"/>
          <w:sz w:val="18"/>
          <w:szCs w:val="18"/>
        </w:rPr>
        <w:t xml:space="preserve"> Ostali prihodi odnose se na refundacije naknade štete.</w:t>
      </w:r>
    </w:p>
    <w:p w14:paraId="5E029104" w14:textId="77777777" w:rsidR="00607BA6" w:rsidRPr="00B40112" w:rsidRDefault="00607BA6" w:rsidP="00607BA6">
      <w:pPr>
        <w:rPr>
          <w:rFonts w:cstheme="minorHAnsi"/>
          <w:sz w:val="18"/>
          <w:szCs w:val="18"/>
        </w:rPr>
      </w:pPr>
      <w:r w:rsidRPr="00B40112">
        <w:rPr>
          <w:rFonts w:cstheme="minorHAnsi"/>
          <w:sz w:val="18"/>
          <w:szCs w:val="18"/>
        </w:rPr>
        <w:t>Rashodi  amortizacije povećani su sa planiranih 400.000 kn na 1.200.000 kn..</w:t>
      </w:r>
    </w:p>
    <w:p w14:paraId="23822BC2" w14:textId="77777777" w:rsidR="00965BB5" w:rsidRPr="00B40112" w:rsidRDefault="00965BB5" w:rsidP="00607BA6">
      <w:pPr>
        <w:rPr>
          <w:rFonts w:cstheme="minorHAnsi"/>
          <w:sz w:val="18"/>
          <w:szCs w:val="18"/>
        </w:rPr>
      </w:pPr>
      <w:r w:rsidRPr="00B40112">
        <w:rPr>
          <w:rFonts w:cstheme="minorHAnsi"/>
          <w:sz w:val="18"/>
          <w:szCs w:val="18"/>
        </w:rPr>
        <w:t>Rashodi za radnike povećani su sa 3.880.000 kn na 4.005.000 kn radi povećanja osnovice u tijeku godine i neoporezivih dodataka.</w:t>
      </w:r>
    </w:p>
    <w:p w14:paraId="53D57B21" w14:textId="77777777" w:rsidR="00B40112" w:rsidRPr="00B40112" w:rsidRDefault="00B40112" w:rsidP="00607BA6">
      <w:pPr>
        <w:rPr>
          <w:rFonts w:cstheme="minorHAnsi"/>
          <w:sz w:val="18"/>
          <w:szCs w:val="18"/>
        </w:rPr>
      </w:pPr>
    </w:p>
    <w:p w14:paraId="3FE19008" w14:textId="77777777" w:rsidR="00B40112" w:rsidRPr="00B40112" w:rsidRDefault="00B40112" w:rsidP="00607BA6">
      <w:pPr>
        <w:rPr>
          <w:rFonts w:cstheme="minorHAnsi"/>
          <w:sz w:val="18"/>
          <w:szCs w:val="18"/>
        </w:rPr>
      </w:pPr>
    </w:p>
    <w:p w14:paraId="4B5F6416" w14:textId="77777777" w:rsidR="00B40112" w:rsidRPr="00B40112" w:rsidRDefault="00B40112" w:rsidP="00607BA6">
      <w:pPr>
        <w:rPr>
          <w:rFonts w:cstheme="minorHAnsi"/>
          <w:sz w:val="18"/>
          <w:szCs w:val="18"/>
        </w:rPr>
      </w:pPr>
    </w:p>
    <w:p w14:paraId="258F9063" w14:textId="77777777" w:rsidR="00B40112" w:rsidRPr="00B40112" w:rsidRDefault="00B40112" w:rsidP="00607BA6">
      <w:pPr>
        <w:rPr>
          <w:rFonts w:cstheme="minorHAnsi"/>
          <w:sz w:val="18"/>
          <w:szCs w:val="18"/>
        </w:rPr>
      </w:pPr>
    </w:p>
    <w:p w14:paraId="0FA2EB20" w14:textId="77777777" w:rsidR="00B40112" w:rsidRPr="00B40112" w:rsidRDefault="00B40112" w:rsidP="00607BA6">
      <w:pPr>
        <w:rPr>
          <w:rFonts w:cstheme="minorHAnsi"/>
          <w:sz w:val="18"/>
          <w:szCs w:val="18"/>
        </w:rPr>
      </w:pPr>
    </w:p>
    <w:p w14:paraId="7822F733" w14:textId="77777777" w:rsidR="00B40112" w:rsidRPr="00B40112" w:rsidRDefault="00B40112" w:rsidP="00607BA6">
      <w:pPr>
        <w:rPr>
          <w:rFonts w:cstheme="minorHAnsi"/>
          <w:sz w:val="18"/>
          <w:szCs w:val="18"/>
        </w:rPr>
      </w:pPr>
    </w:p>
    <w:p w14:paraId="707251CA" w14:textId="77777777" w:rsidR="00B40112" w:rsidRPr="00B40112" w:rsidRDefault="00B40112" w:rsidP="00607BA6">
      <w:pPr>
        <w:rPr>
          <w:rFonts w:cstheme="minorHAnsi"/>
          <w:sz w:val="18"/>
          <w:szCs w:val="18"/>
        </w:rPr>
      </w:pPr>
    </w:p>
    <w:p w14:paraId="6CB8B2BC" w14:textId="77777777" w:rsidR="00B40112" w:rsidRPr="00B40112" w:rsidRDefault="00B40112" w:rsidP="00607BA6">
      <w:pPr>
        <w:rPr>
          <w:rFonts w:cstheme="minorHAnsi"/>
          <w:sz w:val="18"/>
          <w:szCs w:val="18"/>
        </w:rPr>
      </w:pPr>
    </w:p>
    <w:p w14:paraId="04ADB5FC" w14:textId="77777777" w:rsidR="00B40112" w:rsidRPr="00B40112" w:rsidRDefault="00B40112" w:rsidP="00607BA6">
      <w:pPr>
        <w:rPr>
          <w:rFonts w:cstheme="minorHAnsi"/>
          <w:sz w:val="18"/>
          <w:szCs w:val="18"/>
        </w:rPr>
      </w:pPr>
    </w:p>
    <w:p w14:paraId="172B3661" w14:textId="77777777" w:rsidR="00B40112" w:rsidRPr="00B40112" w:rsidRDefault="00B40112" w:rsidP="00607BA6">
      <w:pPr>
        <w:rPr>
          <w:rFonts w:cstheme="minorHAnsi"/>
          <w:sz w:val="18"/>
          <w:szCs w:val="18"/>
        </w:rPr>
      </w:pPr>
    </w:p>
    <w:p w14:paraId="6FD1D2B2" w14:textId="77777777" w:rsidR="00B40112" w:rsidRPr="00B40112" w:rsidRDefault="00B40112" w:rsidP="00607BA6">
      <w:pPr>
        <w:rPr>
          <w:rFonts w:cstheme="minorHAnsi"/>
          <w:sz w:val="18"/>
          <w:szCs w:val="18"/>
        </w:rPr>
      </w:pPr>
    </w:p>
    <w:p w14:paraId="5F8CDDFD" w14:textId="77777777" w:rsidR="00B40112" w:rsidRPr="00B40112" w:rsidRDefault="00B40112" w:rsidP="00607BA6">
      <w:pPr>
        <w:rPr>
          <w:rFonts w:cstheme="minorHAnsi"/>
          <w:sz w:val="18"/>
          <w:szCs w:val="18"/>
        </w:rPr>
      </w:pPr>
      <w:r w:rsidRPr="00B40112">
        <w:rPr>
          <w:rFonts w:cstheme="minorHAnsi"/>
          <w:sz w:val="18"/>
          <w:szCs w:val="18"/>
        </w:rPr>
        <w:t>Tablica 2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806"/>
        <w:gridCol w:w="863"/>
        <w:gridCol w:w="4280"/>
        <w:gridCol w:w="1701"/>
        <w:gridCol w:w="1701"/>
      </w:tblGrid>
      <w:tr w:rsidR="00B40112" w:rsidRPr="00B40112" w14:paraId="7017D359" w14:textId="77777777" w:rsidTr="00B40112">
        <w:trPr>
          <w:trHeight w:val="64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3A2D1F55" w14:textId="77777777" w:rsidR="00B40112" w:rsidRPr="00B40112" w:rsidRDefault="00B40112" w:rsidP="00B40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D1 </w:t>
            </w:r>
            <w:proofErr w:type="spellStart"/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Unaprijeđenje</w:t>
            </w:r>
            <w:proofErr w:type="spellEnd"/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sustava posjećenosti područja, uređenje cestovne infrastrukture, parkirališnih prostora, </w:t>
            </w:r>
            <w:proofErr w:type="spellStart"/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pješaćkih</w:t>
            </w:r>
            <w:proofErr w:type="spellEnd"/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i biciklističkih staza</w:t>
            </w:r>
          </w:p>
        </w:tc>
      </w:tr>
      <w:tr w:rsidR="00B40112" w:rsidRPr="00B40112" w14:paraId="6461D574" w14:textId="77777777" w:rsidTr="00B40112">
        <w:trPr>
          <w:trHeight w:val="9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3E482" w14:textId="77777777" w:rsidR="00B40112" w:rsidRPr="00B40112" w:rsidRDefault="00B40112" w:rsidP="00B40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2DB6" w14:textId="77777777" w:rsidR="00B40112" w:rsidRPr="00B40112" w:rsidRDefault="00B40112" w:rsidP="00B40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OSA 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7AD5" w14:textId="77777777" w:rsidR="00B40112" w:rsidRPr="00B40112" w:rsidRDefault="00B40112" w:rsidP="00B401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Izvedba prometnice postavljanjem ekološki prihvatljivog cestovnog zastora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FD71" w14:textId="77777777" w:rsidR="00B40112" w:rsidRPr="00B40112" w:rsidRDefault="00B40112" w:rsidP="00B40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BD81" w14:textId="77777777" w:rsidR="00B40112" w:rsidRPr="00B40112" w:rsidRDefault="00B40112" w:rsidP="00B40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3500000 BRISATI</w:t>
            </w:r>
          </w:p>
        </w:tc>
      </w:tr>
      <w:tr w:rsidR="00B40112" w:rsidRPr="00B40112" w14:paraId="69F2647B" w14:textId="77777777" w:rsidTr="00B40112">
        <w:trPr>
          <w:trHeight w:val="30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bottom"/>
            <w:hideMark/>
          </w:tcPr>
          <w:p w14:paraId="1846A9F2" w14:textId="77777777" w:rsidR="00B40112" w:rsidRPr="00B40112" w:rsidRDefault="00B40112" w:rsidP="00B40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D6 Unapređenje sustava ulazno-izlaznih punktova</w:t>
            </w:r>
          </w:p>
        </w:tc>
      </w:tr>
      <w:tr w:rsidR="00B40112" w:rsidRPr="00B40112" w14:paraId="5BA59794" w14:textId="77777777" w:rsidTr="00B40112">
        <w:trPr>
          <w:trHeight w:val="49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E2EFDA"/>
            <w:vAlign w:val="bottom"/>
            <w:hideMark/>
          </w:tcPr>
          <w:p w14:paraId="1305AC09" w14:textId="77777777" w:rsidR="00B40112" w:rsidRPr="00B40112" w:rsidRDefault="00B40112" w:rsidP="00B401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E2 Održavanje i nabava potrebne infrastrukture, opreme, kao i izrada i nadopuna akata potrebnih za normalno odvijanje radnih procesa</w:t>
            </w:r>
          </w:p>
        </w:tc>
      </w:tr>
      <w:tr w:rsidR="00B40112" w:rsidRPr="00B40112" w14:paraId="12AC81B0" w14:textId="77777777" w:rsidTr="00B40112">
        <w:trPr>
          <w:trHeight w:val="525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FF73" w14:textId="77777777" w:rsidR="00B40112" w:rsidRPr="00B40112" w:rsidRDefault="00B40112" w:rsidP="00B40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E2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D432" w14:textId="77777777" w:rsidR="00B40112" w:rsidRPr="00B40112" w:rsidRDefault="00B40112" w:rsidP="00B40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OSA 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278E" w14:textId="77777777" w:rsidR="00B40112" w:rsidRPr="00B40112" w:rsidRDefault="00B40112" w:rsidP="00B401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Nabava agregata snage do 20 kw za napajanje sustava rampi i naplate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3E91" w14:textId="77777777" w:rsidR="00B40112" w:rsidRPr="00B40112" w:rsidRDefault="00B40112" w:rsidP="00B40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Prikupljanje ponuda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FB32" w14:textId="77777777" w:rsidR="00B40112" w:rsidRPr="00B40112" w:rsidRDefault="00B40112" w:rsidP="00B40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67.400</w:t>
            </w:r>
          </w:p>
        </w:tc>
      </w:tr>
      <w:tr w:rsidR="00B40112" w:rsidRPr="00B40112" w14:paraId="7FB95CDB" w14:textId="77777777" w:rsidTr="00B40112">
        <w:trPr>
          <w:trHeight w:val="525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7EC37" w14:textId="77777777" w:rsidR="00B40112" w:rsidRPr="00B40112" w:rsidRDefault="00B40112" w:rsidP="00B401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EB6D" w14:textId="77777777" w:rsidR="00B40112" w:rsidRPr="00B40112" w:rsidRDefault="00B40112" w:rsidP="00B40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OSA 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685F" w14:textId="77777777" w:rsidR="00B40112" w:rsidRPr="00B40112" w:rsidRDefault="00B40112" w:rsidP="00B401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Obnovljena meteorološka postaja na Donjem Kamenjaku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F20E" w14:textId="77777777" w:rsidR="00B40112" w:rsidRPr="00B40112" w:rsidRDefault="00B40112" w:rsidP="00B40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Prikupljanje ponuda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F25B" w14:textId="77777777" w:rsidR="00B40112" w:rsidRPr="00B40112" w:rsidRDefault="00B40112" w:rsidP="00B40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25000 BRISATI</w:t>
            </w:r>
          </w:p>
        </w:tc>
      </w:tr>
      <w:tr w:rsidR="00B40112" w:rsidRPr="00B40112" w14:paraId="192A6003" w14:textId="77777777" w:rsidTr="00B40112">
        <w:trPr>
          <w:trHeight w:val="30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2C288F" w14:textId="77777777" w:rsidR="00B40112" w:rsidRPr="00B40112" w:rsidRDefault="00B40112" w:rsidP="00B401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B81D" w14:textId="77777777" w:rsidR="00B40112" w:rsidRPr="00B40112" w:rsidRDefault="00B40112" w:rsidP="00B40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OSA 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F2ED" w14:textId="77777777" w:rsidR="00B40112" w:rsidRPr="00B40112" w:rsidRDefault="00B40112" w:rsidP="00B401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Nabava nadzorne rampe na lokaciji Lokva i Polje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1F06" w14:textId="77777777" w:rsidR="00B40112" w:rsidRPr="00B40112" w:rsidRDefault="00B40112" w:rsidP="00B40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Jednostavna nabava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1A79" w14:textId="77777777" w:rsidR="00B40112" w:rsidRPr="00B40112" w:rsidRDefault="00B40112" w:rsidP="00B40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80000 BRISATI</w:t>
            </w:r>
          </w:p>
        </w:tc>
      </w:tr>
      <w:tr w:rsidR="00B40112" w:rsidRPr="00B40112" w14:paraId="3E3F64BF" w14:textId="77777777" w:rsidTr="00B40112">
        <w:trPr>
          <w:trHeight w:val="30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21495" w14:textId="77777777" w:rsidR="00B40112" w:rsidRPr="00B40112" w:rsidRDefault="00B40112" w:rsidP="00B401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422B" w14:textId="77777777" w:rsidR="00B40112" w:rsidRPr="00B40112" w:rsidRDefault="00B40112" w:rsidP="00B40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OSA 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1B47" w14:textId="77777777" w:rsidR="00B40112" w:rsidRPr="00B40112" w:rsidRDefault="00B40112" w:rsidP="00B401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Nabava solarnih panela za povećanje napajanja kamera i zaštite područja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3A5A" w14:textId="77777777" w:rsidR="00B40112" w:rsidRPr="00B40112" w:rsidRDefault="00B40112" w:rsidP="00B40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Prikupljanje ponuda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5414" w14:textId="77777777" w:rsidR="00B40112" w:rsidRPr="00B40112" w:rsidRDefault="00B40112" w:rsidP="00B40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10000 BRISATI</w:t>
            </w:r>
          </w:p>
        </w:tc>
      </w:tr>
      <w:tr w:rsidR="00B40112" w:rsidRPr="00B40112" w14:paraId="0581736C" w14:textId="77777777" w:rsidTr="00B40112">
        <w:trPr>
          <w:trHeight w:val="30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D94B" w14:textId="77777777" w:rsidR="00B40112" w:rsidRPr="00B40112" w:rsidRDefault="00B40112" w:rsidP="00B401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C6EB" w14:textId="77777777" w:rsidR="00B40112" w:rsidRPr="00B40112" w:rsidRDefault="00B40112" w:rsidP="00B40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OSA 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19CF" w14:textId="77777777" w:rsidR="00B40112" w:rsidRPr="00B40112" w:rsidRDefault="00B40112" w:rsidP="00B401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Nabava vozila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FE87" w14:textId="77777777" w:rsidR="00B40112" w:rsidRPr="00B40112" w:rsidRDefault="00B40112" w:rsidP="00B40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Jednostavna nabava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6334" w14:textId="77777777" w:rsidR="00B40112" w:rsidRPr="00B40112" w:rsidRDefault="00B40112" w:rsidP="00B40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130000 BRISATI</w:t>
            </w:r>
          </w:p>
        </w:tc>
      </w:tr>
      <w:tr w:rsidR="00B40112" w:rsidRPr="00B40112" w14:paraId="55A65195" w14:textId="77777777" w:rsidTr="00B4011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AC2F" w14:textId="77777777" w:rsidR="00B40112" w:rsidRPr="00B40112" w:rsidRDefault="00B40112" w:rsidP="00B40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6F83" w14:textId="77777777" w:rsidR="00B40112" w:rsidRPr="00B40112" w:rsidRDefault="00B40112" w:rsidP="00B40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OSA 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ED72" w14:textId="77777777" w:rsidR="00B40112" w:rsidRPr="00B40112" w:rsidRDefault="00B40112" w:rsidP="00B4011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Nabava drona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2E2A" w14:textId="77777777" w:rsidR="00B40112" w:rsidRPr="00B40112" w:rsidRDefault="00B40112" w:rsidP="00B40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Prikupljanje ponuda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F5D9" w14:textId="77777777" w:rsidR="00B40112" w:rsidRPr="00B40112" w:rsidRDefault="00B40112" w:rsidP="00B401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B401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40000 BRISATI</w:t>
            </w:r>
          </w:p>
        </w:tc>
      </w:tr>
    </w:tbl>
    <w:p w14:paraId="6894B378" w14:textId="77777777" w:rsidR="00484EAA" w:rsidRPr="00B40112" w:rsidRDefault="00484EAA">
      <w:pPr>
        <w:rPr>
          <w:sz w:val="18"/>
          <w:szCs w:val="18"/>
        </w:rPr>
      </w:pPr>
    </w:p>
    <w:p w14:paraId="2BB5E37A" w14:textId="77777777" w:rsidR="00B40112" w:rsidRPr="00B40112" w:rsidRDefault="00B40112">
      <w:pPr>
        <w:rPr>
          <w:sz w:val="18"/>
          <w:szCs w:val="18"/>
        </w:rPr>
      </w:pPr>
    </w:p>
    <w:p w14:paraId="7BE493D6" w14:textId="77777777" w:rsidR="00B40112" w:rsidRPr="00B40112" w:rsidRDefault="00B40112">
      <w:pPr>
        <w:rPr>
          <w:sz w:val="18"/>
          <w:szCs w:val="18"/>
        </w:rPr>
      </w:pPr>
    </w:p>
    <w:p w14:paraId="0B0874C1" w14:textId="77777777" w:rsidR="00B40112" w:rsidRPr="00B40112" w:rsidRDefault="00B40112">
      <w:pPr>
        <w:rPr>
          <w:sz w:val="18"/>
          <w:szCs w:val="18"/>
        </w:rPr>
      </w:pPr>
    </w:p>
    <w:p w14:paraId="5E73B4E7" w14:textId="32A358BD" w:rsidR="00B40112" w:rsidRDefault="00B40112">
      <w:pPr>
        <w:rPr>
          <w:sz w:val="18"/>
          <w:szCs w:val="18"/>
        </w:rPr>
      </w:pPr>
      <w:r w:rsidRPr="00B40112">
        <w:rPr>
          <w:sz w:val="18"/>
          <w:szCs w:val="18"/>
        </w:rPr>
        <w:t>Sukladno promjena</w:t>
      </w:r>
      <w:r w:rsidR="00C9337F">
        <w:rPr>
          <w:sz w:val="18"/>
          <w:szCs w:val="18"/>
        </w:rPr>
        <w:t>ma</w:t>
      </w:r>
      <w:r w:rsidRPr="00B40112">
        <w:rPr>
          <w:sz w:val="18"/>
          <w:szCs w:val="18"/>
        </w:rPr>
        <w:t xml:space="preserve"> koje su se dogodile tijekom 2022. godine u odnosu na plan, predlaže se brisanje pojedinih stavki Plana nabave dugotrajne imovine za 2022. godinu, kako je prikazano u Tab</w:t>
      </w:r>
      <w:r w:rsidR="00C9337F">
        <w:rPr>
          <w:sz w:val="18"/>
          <w:szCs w:val="18"/>
        </w:rPr>
        <w:t xml:space="preserve">lici </w:t>
      </w:r>
      <w:r w:rsidRPr="00B40112">
        <w:rPr>
          <w:sz w:val="18"/>
          <w:szCs w:val="18"/>
        </w:rPr>
        <w:t>2.</w:t>
      </w:r>
    </w:p>
    <w:p w14:paraId="3F9019A3" w14:textId="163446ED" w:rsidR="00456482" w:rsidRPr="00456482" w:rsidRDefault="00456482" w:rsidP="00456482">
      <w:pPr>
        <w:rPr>
          <w:sz w:val="18"/>
          <w:szCs w:val="18"/>
        </w:rPr>
      </w:pPr>
    </w:p>
    <w:p w14:paraId="6E91BB3A" w14:textId="67C884B2" w:rsidR="00456482" w:rsidRPr="00456482" w:rsidRDefault="00456482" w:rsidP="00456482">
      <w:pPr>
        <w:rPr>
          <w:sz w:val="18"/>
          <w:szCs w:val="18"/>
        </w:rPr>
      </w:pPr>
    </w:p>
    <w:p w14:paraId="12979EC5" w14:textId="5DB2B9F1" w:rsidR="00456482" w:rsidRPr="00456482" w:rsidRDefault="00456482" w:rsidP="00456482">
      <w:pPr>
        <w:rPr>
          <w:sz w:val="18"/>
          <w:szCs w:val="18"/>
        </w:rPr>
      </w:pPr>
    </w:p>
    <w:p w14:paraId="2C942C3E" w14:textId="4B720A42" w:rsidR="00456482" w:rsidRPr="00456482" w:rsidRDefault="00456482" w:rsidP="00456482">
      <w:pPr>
        <w:rPr>
          <w:sz w:val="18"/>
          <w:szCs w:val="18"/>
        </w:rPr>
      </w:pPr>
    </w:p>
    <w:p w14:paraId="7100679B" w14:textId="37939926" w:rsidR="00456482" w:rsidRPr="00456482" w:rsidRDefault="00456482" w:rsidP="00456482">
      <w:pPr>
        <w:rPr>
          <w:sz w:val="18"/>
          <w:szCs w:val="18"/>
        </w:rPr>
      </w:pPr>
    </w:p>
    <w:p w14:paraId="346719C0" w14:textId="7253B782" w:rsidR="00456482" w:rsidRPr="00456482" w:rsidRDefault="00456482" w:rsidP="00456482">
      <w:pPr>
        <w:rPr>
          <w:sz w:val="18"/>
          <w:szCs w:val="18"/>
        </w:rPr>
      </w:pPr>
    </w:p>
    <w:p w14:paraId="10B3F17D" w14:textId="6243F43E" w:rsidR="00456482" w:rsidRDefault="00456482" w:rsidP="00456482">
      <w:pPr>
        <w:rPr>
          <w:sz w:val="18"/>
          <w:szCs w:val="18"/>
        </w:rPr>
      </w:pPr>
    </w:p>
    <w:p w14:paraId="4DFB8A5A" w14:textId="77777777" w:rsidR="00456482" w:rsidRPr="00456482" w:rsidRDefault="00456482" w:rsidP="00456482">
      <w:pPr>
        <w:spacing w:line="240" w:lineRule="auto"/>
        <w:jc w:val="right"/>
        <w:rPr>
          <w:rFonts w:eastAsia="Times New Roman" w:cstheme="minorHAnsi"/>
          <w:sz w:val="20"/>
          <w:szCs w:val="20"/>
          <w:lang w:eastAsia="hr-HR"/>
        </w:rPr>
      </w:pPr>
      <w:r>
        <w:rPr>
          <w:sz w:val="18"/>
          <w:szCs w:val="18"/>
        </w:rPr>
        <w:tab/>
      </w:r>
      <w:r w:rsidRPr="00456482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                                                                Predsjednik Upravnog vijeća</w:t>
      </w:r>
    </w:p>
    <w:p w14:paraId="45F77862" w14:textId="77777777" w:rsidR="00456482" w:rsidRPr="00456482" w:rsidRDefault="00456482" w:rsidP="0045648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hr-HR"/>
        </w:rPr>
      </w:pPr>
      <w:r w:rsidRPr="00456482">
        <w:rPr>
          <w:rFonts w:ascii="Calibri" w:eastAsia="Times New Roman" w:hAnsi="Calibri" w:cs="Calibri"/>
          <w:sz w:val="20"/>
          <w:szCs w:val="20"/>
          <w:lang w:eastAsia="hr-HR"/>
        </w:rPr>
        <w:t xml:space="preserve">   Javne ustanove Kamenjak</w:t>
      </w:r>
    </w:p>
    <w:p w14:paraId="41D231B3" w14:textId="77777777" w:rsidR="00456482" w:rsidRPr="00456482" w:rsidRDefault="00456482" w:rsidP="0045648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0"/>
          <w:szCs w:val="20"/>
          <w:lang w:eastAsia="hr-HR"/>
        </w:rPr>
      </w:pPr>
      <w:r w:rsidRPr="00456482"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                                                                        Elvis </w:t>
      </w:r>
      <w:proofErr w:type="spellStart"/>
      <w:r w:rsidRPr="00456482">
        <w:rPr>
          <w:rFonts w:eastAsia="Times New Roman" w:cstheme="minorHAnsi"/>
          <w:sz w:val="20"/>
          <w:szCs w:val="20"/>
          <w:lang w:eastAsia="hr-HR"/>
        </w:rPr>
        <w:t>Počerek</w:t>
      </w:r>
      <w:proofErr w:type="spellEnd"/>
    </w:p>
    <w:p w14:paraId="63FDD253" w14:textId="37C981A9" w:rsidR="00456482" w:rsidRPr="00456482" w:rsidRDefault="00456482" w:rsidP="00456482">
      <w:pPr>
        <w:tabs>
          <w:tab w:val="left" w:pos="6780"/>
        </w:tabs>
        <w:spacing w:line="240" w:lineRule="auto"/>
        <w:rPr>
          <w:sz w:val="18"/>
          <w:szCs w:val="18"/>
        </w:rPr>
      </w:pPr>
    </w:p>
    <w:sectPr w:rsidR="00456482" w:rsidRPr="00456482" w:rsidSect="00EA4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A6"/>
    <w:rsid w:val="00456482"/>
    <w:rsid w:val="00484EAA"/>
    <w:rsid w:val="00607BA6"/>
    <w:rsid w:val="008B7E16"/>
    <w:rsid w:val="00965BB5"/>
    <w:rsid w:val="00B10E64"/>
    <w:rsid w:val="00B40112"/>
    <w:rsid w:val="00C9337F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D9A7"/>
  <w15:chartTrackingRefBased/>
  <w15:docId w15:val="{771B1B26-A571-4160-9C39-C4B9B168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07BA6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4564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45648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enjak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Korisnik</dc:creator>
  <cp:keywords/>
  <dc:description/>
  <cp:lastModifiedBy>user</cp:lastModifiedBy>
  <cp:revision>4</cp:revision>
  <dcterms:created xsi:type="dcterms:W3CDTF">2023-02-23T13:15:00Z</dcterms:created>
  <dcterms:modified xsi:type="dcterms:W3CDTF">2023-03-30T15:24:00Z</dcterms:modified>
</cp:coreProperties>
</file>