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6"/>
          <w:szCs w:val="16"/>
        </w:rPr>
        <w:t>R</w:t>
      </w:r>
      <w:r>
        <w:rPr>
          <w:rFonts w:hint="default" w:cs="Arial" w:asciiTheme="minorAscii" w:hAnsiTheme="minorAscii"/>
          <w:b/>
          <w:bCs/>
          <w:sz w:val="18"/>
          <w:szCs w:val="18"/>
        </w:rPr>
        <w:t>EPUBLIKA HRVATSKA</w:t>
      </w:r>
    </w:p>
    <w:p w14:paraId="471660C0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</w:rPr>
        <w:t>ISTARSKA ŽUPANIJA</w:t>
      </w:r>
    </w:p>
    <w:p w14:paraId="5550645D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</w:rPr>
        <w:t>OPĆINA MEDULIN</w:t>
      </w:r>
    </w:p>
    <w:p w14:paraId="5B71E910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</w:rPr>
        <w:t>Javna ustanova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</w:t>
      </w:r>
      <w:r>
        <w:rPr>
          <w:rFonts w:hint="default" w:cs="Arial" w:asciiTheme="minorAscii" w:hAnsiTheme="minorAscii"/>
          <w:b/>
          <w:bCs/>
          <w:sz w:val="18"/>
          <w:szCs w:val="18"/>
        </w:rPr>
        <w:t>Kamenjak</w:t>
      </w:r>
    </w:p>
    <w:p w14:paraId="6E63713B">
      <w:pPr>
        <w:jc w:val="both"/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</w:rPr>
        <w:t xml:space="preserve">U Premanturi, 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06.11.2024.</w:t>
      </w:r>
    </w:p>
    <w:p w14:paraId="631D96FB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60402022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41E3BF01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28CE8D17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1DBA3BBE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4A251B07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</w:t>
      </w:r>
      <w:r>
        <w:rPr>
          <w:rFonts w:hint="default" w:cs="Arial" w:asciiTheme="minorAscii" w:hAnsiTheme="minorAscii"/>
          <w:b/>
          <w:bCs/>
          <w:sz w:val="18"/>
          <w:szCs w:val="18"/>
        </w:rPr>
        <w:t xml:space="preserve"> ZAPISNIK</w:t>
      </w:r>
    </w:p>
    <w:p w14:paraId="3125DEF1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33425881">
      <w:pPr>
        <w:jc w:val="center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     </w:t>
      </w:r>
      <w:r>
        <w:rPr>
          <w:rFonts w:hint="default" w:cs="Arial" w:asciiTheme="minorAscii" w:hAnsiTheme="minorAscii"/>
          <w:b/>
          <w:bCs/>
          <w:sz w:val="18"/>
          <w:szCs w:val="18"/>
        </w:rPr>
        <w:t xml:space="preserve">SA 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36.</w:t>
      </w:r>
      <w:r>
        <w:rPr>
          <w:rFonts w:hint="default" w:cs="Arial" w:asciiTheme="minorAscii" w:hAnsiTheme="minorAscii"/>
          <w:b/>
          <w:bCs/>
          <w:sz w:val="18"/>
          <w:szCs w:val="18"/>
        </w:rPr>
        <w:t xml:space="preserve"> SJEDNICE UPRAVNOG VIJEĆA JU KAMENJAK</w:t>
      </w:r>
    </w:p>
    <w:p w14:paraId="0FE18977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63A17888">
      <w:pPr>
        <w:spacing w:after="120"/>
        <w:jc w:val="both"/>
        <w:rPr>
          <w:rFonts w:hint="default" w:cs="Arial" w:asciiTheme="minorAscii" w:hAnsiTheme="minorAscii"/>
          <w:sz w:val="18"/>
          <w:szCs w:val="18"/>
        </w:rPr>
      </w:pPr>
    </w:p>
    <w:p w14:paraId="450E4D62">
      <w:pPr>
        <w:spacing w:after="120"/>
        <w:jc w:val="both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</w:rPr>
        <w:t>Održa</w:t>
      </w:r>
      <w:r>
        <w:rPr>
          <w:rFonts w:hint="default" w:cs="Arial" w:asciiTheme="minorAscii" w:hAnsiTheme="minorAscii"/>
          <w:sz w:val="18"/>
          <w:szCs w:val="18"/>
          <w:lang w:val="hr-HR"/>
        </w:rPr>
        <w:t>ne u srijedu 06.11.2024. mailom</w:t>
      </w:r>
    </w:p>
    <w:p w14:paraId="60E60958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050F8BBE">
      <w:pPr>
        <w:jc w:val="both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</w:rPr>
        <w:t>Prisutni: Elvis Počerek, Ivo Lorencin</w:t>
      </w:r>
      <w:r>
        <w:rPr>
          <w:rFonts w:hint="default" w:cs="Arial" w:asciiTheme="minorAscii" w:hAnsiTheme="minorAscii"/>
          <w:sz w:val="18"/>
          <w:szCs w:val="18"/>
          <w:lang w:val="hr-HR"/>
        </w:rPr>
        <w:t>,</w:t>
      </w:r>
      <w:r>
        <w:rPr>
          <w:rFonts w:hint="default" w:cs="Arial" w:asciiTheme="minorAscii" w:hAnsiTheme="minorAscii"/>
          <w:sz w:val="18"/>
          <w:szCs w:val="18"/>
        </w:rPr>
        <w:t xml:space="preserve"> Nina Skoko, Tomislav Hodak</w:t>
      </w:r>
      <w:r>
        <w:rPr>
          <w:rFonts w:hint="default" w:cs="Arial" w:asciiTheme="minorAscii" w:hAnsiTheme="minorAscii"/>
          <w:sz w:val="18"/>
          <w:szCs w:val="18"/>
          <w:lang w:val="hr-HR"/>
        </w:rPr>
        <w:t>, Toni Brkić</w:t>
      </w:r>
    </w:p>
    <w:p w14:paraId="22DEA5CF">
      <w:pPr>
        <w:jc w:val="both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Odsutni:</w:t>
      </w:r>
    </w:p>
    <w:p w14:paraId="3BA7A610">
      <w:pPr>
        <w:jc w:val="both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 xml:space="preserve">Ostali: 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ravnatelj univ.spec.oec. Slobodan Belević, </w:t>
      </w:r>
      <w:r>
        <w:rPr>
          <w:rFonts w:hint="default" w:cs="Arial" w:asciiTheme="minorAscii" w:hAnsiTheme="minorAscii"/>
          <w:sz w:val="18"/>
          <w:szCs w:val="18"/>
        </w:rPr>
        <w:t>zapisničarka Patricija Skoko</w:t>
      </w:r>
    </w:p>
    <w:p w14:paraId="680BB2B6">
      <w:pPr>
        <w:jc w:val="both"/>
        <w:rPr>
          <w:rFonts w:hint="default" w:cs="Arial" w:asciiTheme="minorAscii" w:hAnsiTheme="minorAscii"/>
          <w:sz w:val="18"/>
          <w:szCs w:val="18"/>
        </w:rPr>
      </w:pPr>
    </w:p>
    <w:p w14:paraId="0E9C6DB3">
      <w:pPr>
        <w:jc w:val="both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 xml:space="preserve"> </w:t>
      </w:r>
    </w:p>
    <w:p w14:paraId="0D39B6B8">
      <w:pPr>
        <w:jc w:val="both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cs="Arial" w:asciiTheme="minorAscii" w:hAnsiTheme="minorAscii"/>
          <w:sz w:val="18"/>
          <w:szCs w:val="18"/>
        </w:rPr>
      </w:pPr>
    </w:p>
    <w:p w14:paraId="29DDD239">
      <w:pPr>
        <w:spacing w:after="12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36</w:t>
      </w:r>
      <w:r>
        <w:rPr>
          <w:rFonts w:hint="default" w:cs="Arial" w:asciiTheme="minorAscii" w:hAnsiTheme="minorAscii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cs="Arial" w:asciiTheme="minorAscii" w:hAnsiTheme="minorAscii"/>
          <w:sz w:val="18"/>
          <w:szCs w:val="18"/>
        </w:rPr>
        <w:t>:</w:t>
      </w:r>
    </w:p>
    <w:p w14:paraId="1D864E33">
      <w:pPr>
        <w:rPr>
          <w:rFonts w:hint="default" w:cs="Arial" w:asciiTheme="minorAscii" w:hAnsiTheme="minorAscii"/>
          <w:sz w:val="18"/>
          <w:szCs w:val="18"/>
        </w:rPr>
      </w:pPr>
    </w:p>
    <w:p w14:paraId="6FC81E8B">
      <w:pPr>
        <w:rPr>
          <w:rFonts w:hint="default" w:cs="Arial" w:asciiTheme="minorAscii" w:hAnsiTheme="minorAscii"/>
          <w:sz w:val="18"/>
          <w:szCs w:val="18"/>
        </w:rPr>
      </w:pPr>
    </w:p>
    <w:p w14:paraId="62928F29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  </w:t>
      </w:r>
    </w:p>
    <w:p w14:paraId="121773DB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23B0A958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</w:rPr>
        <w:t xml:space="preserve">                                                                     </w:t>
      </w:r>
      <w:r>
        <w:rPr>
          <w:rFonts w:hint="default" w:cs="Arial" w:asciiTheme="minorAscii" w:hAnsiTheme="minorAscii"/>
          <w:b/>
          <w:bCs/>
          <w:sz w:val="18"/>
          <w:szCs w:val="18"/>
        </w:rPr>
        <w:t xml:space="preserve">  DNEVNI R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ED</w:t>
      </w:r>
    </w:p>
    <w:p w14:paraId="12DE50FF">
      <w:pPr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3139D762">
      <w:pPr>
        <w:rPr>
          <w:rFonts w:hint="default" w:cs="Arial" w:asciiTheme="minorAscii" w:hAnsiTheme="minorAscii"/>
          <w:b/>
          <w:bCs/>
          <w:sz w:val="18"/>
          <w:szCs w:val="18"/>
        </w:rPr>
      </w:pPr>
    </w:p>
    <w:p w14:paraId="21CC9842">
      <w:pPr>
        <w:spacing w:after="120" w:line="240" w:lineRule="auto"/>
        <w:jc w:val="both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 </w:t>
      </w:r>
    </w:p>
    <w:p w14:paraId="5943D70A">
      <w:pPr>
        <w:pStyle w:val="9"/>
        <w:numPr>
          <w:ilvl w:val="0"/>
          <w:numId w:val="1"/>
        </w:numPr>
        <w:spacing w:after="0" w:line="240" w:lineRule="auto"/>
        <w:contextualSpacing w:val="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Natječaj stručni voditelj</w:t>
      </w:r>
    </w:p>
    <w:p w14:paraId="36B78B2C">
      <w:pPr>
        <w:pStyle w:val="9"/>
        <w:numPr>
          <w:ilvl w:val="0"/>
          <w:numId w:val="1"/>
        </w:numPr>
        <w:spacing w:after="0" w:line="240" w:lineRule="auto"/>
        <w:contextualSpacing w:val="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Suglasnost za početak postupka nabave vozila</w:t>
      </w:r>
    </w:p>
    <w:p w14:paraId="0292E569">
      <w:pPr>
        <w:pStyle w:val="9"/>
        <w:numPr>
          <w:ilvl w:val="0"/>
          <w:numId w:val="1"/>
        </w:numPr>
        <w:spacing w:after="0" w:line="240" w:lineRule="auto"/>
        <w:contextualSpacing w:val="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Suglasnost za početak postupka nabave grilja i vrata na upravnoj zgradi</w:t>
      </w:r>
    </w:p>
    <w:p w14:paraId="6D19C383">
      <w:pPr>
        <w:pStyle w:val="9"/>
        <w:numPr>
          <w:ilvl w:val="0"/>
          <w:numId w:val="1"/>
        </w:numPr>
        <w:spacing w:after="0" w:line="240" w:lineRule="auto"/>
        <w:contextualSpacing w:val="0"/>
        <w:rPr>
          <w:rFonts w:hint="default" w:eastAsia="Times New Roman" w:cs="Arial" w:asciiTheme="minorAscii" w:hAnsiTheme="minorAscii"/>
          <w:sz w:val="18"/>
          <w:szCs w:val="18"/>
        </w:rPr>
      </w:pPr>
      <w:r>
        <w:rPr>
          <w:rFonts w:hint="default" w:eastAsia="Times New Roman" w:cs="Arial" w:asciiTheme="minorAscii" w:hAnsiTheme="minorAscii"/>
          <w:sz w:val="18"/>
          <w:szCs w:val="18"/>
        </w:rPr>
        <w:t xml:space="preserve">Suglasnost za početak postupka nabave impregniranih elemenata za uređenje posjetiteljske infrastrukture (obnova tora i ograđivanje parkinga). </w:t>
      </w:r>
      <w:r>
        <w:rPr>
          <w:rFonts w:hint="default" w:eastAsia="Calibri" w:cs="Arial" w:asciiTheme="minorAscii" w:hAnsiTheme="minorAscii"/>
          <w:kern w:val="0"/>
          <w:sz w:val="18"/>
          <w:szCs w:val="18"/>
          <w14:ligatures w14:val="none"/>
        </w:rPr>
        <w:t>Napomena: Fond za zaštitu okoliša i energetsku učinkovitost financira 64,88 % ovu nabavu.</w:t>
      </w:r>
    </w:p>
    <w:p w14:paraId="34B0EDDD">
      <w:pPr>
        <w:pStyle w:val="9"/>
        <w:numPr>
          <w:ilvl w:val="0"/>
          <w:numId w:val="1"/>
        </w:numPr>
        <w:spacing w:after="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Prethodna suglasnost za zaključenje ugovora o radu na neodređeno vrijeme Voditelj naplate</w:t>
      </w:r>
    </w:p>
    <w:p w14:paraId="3381629E">
      <w:pPr>
        <w:pStyle w:val="9"/>
        <w:numPr>
          <w:ilvl w:val="0"/>
          <w:numId w:val="1"/>
        </w:numPr>
        <w:spacing w:after="0" w:line="240" w:lineRule="auto"/>
        <w:ind w:right="220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>Potvrda računa</w:t>
      </w:r>
    </w:p>
    <w:p w14:paraId="75DDB382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2670739E">
      <w:pPr>
        <w:spacing w:after="120" w:line="240" w:lineRule="auto"/>
        <w:jc w:val="both"/>
        <w:rPr>
          <w:rFonts w:hint="default" w:cs="Arial" w:asciiTheme="minorAscii" w:hAnsiTheme="minorAscii"/>
          <w:sz w:val="18"/>
          <w:szCs w:val="18"/>
        </w:rPr>
      </w:pPr>
    </w:p>
    <w:p w14:paraId="4AFCFE70">
      <w:pPr>
        <w:spacing w:after="0" w:line="240" w:lineRule="auto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2483A2F2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0A1ABE7F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514BE336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</w:t>
      </w:r>
      <w:r>
        <w:rPr>
          <w:rFonts w:hint="default" w:cs="Arial" w:asciiTheme="minorAscii" w:hAnsiTheme="minorAscii"/>
          <w:sz w:val="18"/>
          <w:szCs w:val="18"/>
        </w:rPr>
        <w:t>Glasanje se odvija mailom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od 08:00 do 12:00 sati.</w:t>
      </w:r>
    </w:p>
    <w:p w14:paraId="419C7E46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611CF3E4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>Dnevni red jednoglasno usvojen.</w:t>
      </w:r>
    </w:p>
    <w:p w14:paraId="64E785CD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0C941A9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2DB1F534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>ZA:5                        PROTIV:0                           SUZDRŽAN:0</w:t>
      </w:r>
    </w:p>
    <w:p w14:paraId="15F0F161">
      <w:pPr>
        <w:rPr>
          <w:rFonts w:hint="default" w:cs="Arial" w:asciiTheme="minorAscii" w:hAnsiTheme="minorAscii"/>
          <w:sz w:val="18"/>
          <w:szCs w:val="18"/>
        </w:rPr>
      </w:pPr>
    </w:p>
    <w:p w14:paraId="32213C50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</w:t>
      </w:r>
    </w:p>
    <w:p w14:paraId="6902F1C6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36DF6C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Ad.1) </w:t>
      </w:r>
      <w:r>
        <w:rPr>
          <w:rFonts w:hint="default" w:cs="Arial" w:asciiTheme="minorAscii" w:hAnsiTheme="minorAscii"/>
          <w:b/>
          <w:bCs/>
          <w:sz w:val="18"/>
          <w:szCs w:val="18"/>
        </w:rPr>
        <w:t>Natječaj stručni voditel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j</w:t>
      </w:r>
      <w:r>
        <w:rPr>
          <w:rFonts w:hint="default" w:cs="Arial" w:asciiTheme="minorAscii" w:hAnsiTheme="minorAscii"/>
          <w:sz w:val="18"/>
          <w:szCs w:val="18"/>
        </w:rPr>
        <w:t xml:space="preserve">  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</w:t>
      </w:r>
    </w:p>
    <w:p w14:paraId="710FB34B">
      <w:pPr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 xml:space="preserve">   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           </w:t>
      </w:r>
    </w:p>
    <w:p w14:paraId="1FEF05D8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Zakonska obveza je raspisvanje  natječaja za stručnog voditelja 30 dana nakon imenovanja v.d.-a.</w:t>
      </w:r>
    </w:p>
    <w:p w14:paraId="79F073D2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570A6B3D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>ZA:5                       PROTIV:0                          SUZDRŽAN:0</w:t>
      </w:r>
    </w:p>
    <w:p w14:paraId="4D6CB83B">
      <w:pPr>
        <w:pStyle w:val="9"/>
        <w:numPr>
          <w:ilvl w:val="0"/>
          <w:numId w:val="0"/>
        </w:numPr>
        <w:spacing w:after="0" w:line="240" w:lineRule="auto"/>
        <w:contextualSpacing w:val="0"/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50F6C7B1">
      <w:pPr>
        <w:pStyle w:val="9"/>
        <w:numPr>
          <w:ilvl w:val="0"/>
          <w:numId w:val="0"/>
        </w:numPr>
        <w:spacing w:after="0" w:line="240" w:lineRule="auto"/>
        <w:ind w:firstLine="90" w:firstLineChars="50"/>
        <w:contextualSpacing w:val="0"/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Ad. 2)  </w:t>
      </w:r>
      <w:r>
        <w:rPr>
          <w:rFonts w:hint="default" w:cs="Arial" w:asciiTheme="minorAscii" w:hAnsiTheme="minorAscii"/>
          <w:b/>
          <w:bCs/>
          <w:sz w:val="18"/>
          <w:szCs w:val="18"/>
        </w:rPr>
        <w:t>Suglasnost za početak postupka nabave vozila</w:t>
      </w:r>
    </w:p>
    <w:p w14:paraId="14AC389F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  </w:t>
      </w:r>
    </w:p>
    <w:p w14:paraId="10EF9478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</w:t>
      </w:r>
      <w:r>
        <w:rPr>
          <w:rFonts w:hint="default" w:cs="Arial" w:asciiTheme="minorAscii" w:hAnsiTheme="minorAscii"/>
          <w:sz w:val="18"/>
          <w:szCs w:val="18"/>
          <w:lang w:val="hr-HR"/>
        </w:rPr>
        <w:t>ZA:4                       PROTIV:0                           SUZDRŽAN:1</w:t>
      </w:r>
    </w:p>
    <w:p w14:paraId="05412BB1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2EF0A732">
      <w:pPr>
        <w:rPr>
          <w:rFonts w:hint="default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</w:t>
      </w: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Ad. 3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) </w:t>
      </w:r>
      <w:r>
        <w:rPr>
          <w:rFonts w:hint="default" w:cs="Arial" w:asciiTheme="minorAscii" w:hAnsiTheme="minorAscii"/>
          <w:b/>
          <w:bCs/>
          <w:sz w:val="18"/>
          <w:szCs w:val="18"/>
        </w:rPr>
        <w:t>Suglasnost za početak postupka nabave grilja i vrata na upravnoj zgradi</w:t>
      </w:r>
    </w:p>
    <w:p w14:paraId="2CB2363F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74EA2DCC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ZA:4                       PROTIV:0                           SUZDRŽAN:1</w:t>
      </w:r>
    </w:p>
    <w:p w14:paraId="15AF6C93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DE0E015">
      <w:pPr>
        <w:pStyle w:val="9"/>
        <w:numPr>
          <w:ilvl w:val="0"/>
          <w:numId w:val="0"/>
        </w:numPr>
        <w:spacing w:after="0" w:line="240" w:lineRule="auto"/>
        <w:contextualSpacing w:val="0"/>
        <w:rPr>
          <w:rFonts w:hint="default" w:eastAsia="Times New Roman" w:cs="Arial" w:asciiTheme="minorAscii" w:hAnsiTheme="minorAscii"/>
          <w:b/>
          <w:bCs/>
          <w:sz w:val="18"/>
          <w:szCs w:val="18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 Ad. 4) </w:t>
      </w:r>
      <w:r>
        <w:rPr>
          <w:rFonts w:hint="default" w:eastAsia="Times New Roman" w:cs="Arial" w:asciiTheme="minorAscii" w:hAnsiTheme="minorAscii"/>
          <w:b/>
          <w:bCs/>
          <w:sz w:val="18"/>
          <w:szCs w:val="18"/>
        </w:rPr>
        <w:t xml:space="preserve">Suglasnost za početak postupka nabave impregniranih elemenata za uređenje posjetiteljske infrastrukture (obnova tora i ograđivanje parkinga). </w:t>
      </w:r>
      <w:r>
        <w:rPr>
          <w:rFonts w:hint="default" w:eastAsia="Calibri" w:cs="Arial" w:asciiTheme="minorAscii" w:hAnsiTheme="minorAscii"/>
          <w:b/>
          <w:bCs/>
          <w:kern w:val="0"/>
          <w:sz w:val="18"/>
          <w:szCs w:val="18"/>
          <w14:ligatures w14:val="none"/>
        </w:rPr>
        <w:t>Napomena: Fond za zaštitu okoliša i energetsku učinkovitost financira 64,88 % ovu nabavu.</w:t>
      </w:r>
    </w:p>
    <w:p w14:paraId="6C024798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19050D52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ZA:4                       PROTIV:0                           SUZDRŽAN:1</w:t>
      </w:r>
    </w:p>
    <w:p w14:paraId="7463136B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4EF0AC91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 xml:space="preserve">Ad. 5) </w:t>
      </w:r>
      <w:r>
        <w:rPr>
          <w:rFonts w:hint="default" w:cs="Arial" w:asciiTheme="minorAscii" w:hAnsiTheme="minorAscii"/>
          <w:b/>
          <w:bCs/>
          <w:sz w:val="18"/>
          <w:szCs w:val="18"/>
        </w:rPr>
        <w:t>Prethodna suglasnost za zaključenje ugovora o radu na neodređeno vrijeme Voditelj naplate</w:t>
      </w:r>
    </w:p>
    <w:p w14:paraId="28B9B8F2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593826C5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Zbog izmijenjenih uvjeta mjera “Stalni sezonac” Hrvatskog zavoda za zapošljavanje iz listopada 2024. Ravnatelj predlaže Upravnom  vijeću izdavanje prethodne suglasnosti za zaključenje ugovora o radu na neodređeno vrijeme -voditelj naplate.</w:t>
      </w:r>
    </w:p>
    <w:p w14:paraId="65DAC202">
      <w:pPr>
        <w:ind w:firstLine="90" w:firstLineChars="50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252F402E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ZA:4                       PROTIV:0                           SUZDRŽAN:1</w:t>
      </w:r>
    </w:p>
    <w:p w14:paraId="7E65CC15">
      <w:pPr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37E216BE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  <w:r>
        <w:rPr>
          <w:rFonts w:hint="default" w:cs="Arial" w:asciiTheme="minorAscii" w:hAnsiTheme="minorAscii"/>
          <w:b/>
          <w:bCs/>
          <w:sz w:val="18"/>
          <w:szCs w:val="18"/>
          <w:lang w:val="hr-HR"/>
        </w:rPr>
        <w:t>Ad. 6) Potvrda računa</w:t>
      </w:r>
    </w:p>
    <w:p w14:paraId="47136F10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46A083FA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34AAF862">
      <w:pPr>
        <w:rPr>
          <w:rFonts w:hint="default" w:cs="Arial" w:asciiTheme="minorAscii" w:hAnsiTheme="minorAscii"/>
          <w:sz w:val="18"/>
          <w:szCs w:val="18"/>
        </w:rPr>
      </w:pPr>
      <w:bookmarkStart w:id="0" w:name="_Hlk90893802"/>
    </w:p>
    <w:tbl>
      <w:tblPr>
        <w:tblStyle w:val="8"/>
        <w:tblW w:w="7777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058"/>
        <w:gridCol w:w="1380"/>
        <w:gridCol w:w="1605"/>
        <w:gridCol w:w="1055"/>
      </w:tblGrid>
      <w:tr w14:paraId="038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</w:tcPr>
          <w:p w14:paraId="35CD6C47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REDNI</w:t>
            </w:r>
          </w:p>
          <w:p w14:paraId="518068DD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BROJ</w:t>
            </w:r>
          </w:p>
          <w:p w14:paraId="2E05F214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</w:p>
        </w:tc>
        <w:tc>
          <w:tcPr>
            <w:tcW w:w="3058" w:type="dxa"/>
          </w:tcPr>
          <w:p w14:paraId="0AFB110D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NAZIV DOBAVLJAČA</w:t>
            </w:r>
          </w:p>
        </w:tc>
        <w:tc>
          <w:tcPr>
            <w:tcW w:w="1380" w:type="dxa"/>
          </w:tcPr>
          <w:p w14:paraId="1D3BA935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RAČUN</w:t>
            </w:r>
          </w:p>
        </w:tc>
        <w:tc>
          <w:tcPr>
            <w:tcW w:w="1605" w:type="dxa"/>
          </w:tcPr>
          <w:p w14:paraId="015BE81B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DATUM RAČUNA</w:t>
            </w:r>
          </w:p>
        </w:tc>
        <w:tc>
          <w:tcPr>
            <w:tcW w:w="1055" w:type="dxa"/>
          </w:tcPr>
          <w:p w14:paraId="36833273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</w:rPr>
              <w:t>IZNOS</w:t>
            </w:r>
          </w:p>
        </w:tc>
      </w:tr>
      <w:tr w14:paraId="08EB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</w:tcPr>
          <w:p w14:paraId="61BF175E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1.</w:t>
            </w:r>
          </w:p>
        </w:tc>
        <w:tc>
          <w:tcPr>
            <w:tcW w:w="3058" w:type="dxa"/>
          </w:tcPr>
          <w:p w14:paraId="0DF86DF7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BB ARHITEKTI PROJEKIRANJE D.O.O.</w:t>
            </w:r>
          </w:p>
          <w:p w14:paraId="13B53923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ZUPANOVA ULICA 2</w:t>
            </w:r>
          </w:p>
          <w:p w14:paraId="4B64B292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10000 LJUBLJANA, SI 63411636</w:t>
            </w:r>
          </w:p>
        </w:tc>
        <w:tc>
          <w:tcPr>
            <w:tcW w:w="1380" w:type="dxa"/>
          </w:tcPr>
          <w:p w14:paraId="0AB790D9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04 2024</w:t>
            </w:r>
          </w:p>
        </w:tc>
        <w:tc>
          <w:tcPr>
            <w:tcW w:w="1605" w:type="dxa"/>
          </w:tcPr>
          <w:p w14:paraId="767595BE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28.10.2024.</w:t>
            </w:r>
          </w:p>
        </w:tc>
        <w:tc>
          <w:tcPr>
            <w:tcW w:w="1055" w:type="dxa"/>
          </w:tcPr>
          <w:p w14:paraId="202EE1AA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 xml:space="preserve">4.500,00 € </w:t>
            </w:r>
          </w:p>
        </w:tc>
      </w:tr>
      <w:tr w14:paraId="161D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dxa"/>
          </w:tcPr>
          <w:p w14:paraId="4B91CDC5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2.</w:t>
            </w:r>
          </w:p>
        </w:tc>
        <w:tc>
          <w:tcPr>
            <w:tcW w:w="3058" w:type="dxa"/>
          </w:tcPr>
          <w:p w14:paraId="78B71BC3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Alexanor obrt</w:t>
            </w:r>
          </w:p>
          <w:p w14:paraId="133BEFE1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Šipkovica 20a, Zagreb</w:t>
            </w:r>
          </w:p>
          <w:p w14:paraId="1A708EBD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OIB:16431593275</w:t>
            </w:r>
          </w:p>
        </w:tc>
        <w:tc>
          <w:tcPr>
            <w:tcW w:w="1380" w:type="dxa"/>
          </w:tcPr>
          <w:p w14:paraId="049AE527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6/01/241</w:t>
            </w:r>
          </w:p>
        </w:tc>
        <w:tc>
          <w:tcPr>
            <w:tcW w:w="1605" w:type="dxa"/>
          </w:tcPr>
          <w:p w14:paraId="1C9B3743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06.11.2024.</w:t>
            </w:r>
          </w:p>
        </w:tc>
        <w:tc>
          <w:tcPr>
            <w:tcW w:w="1055" w:type="dxa"/>
          </w:tcPr>
          <w:p w14:paraId="738E46DB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2.125,00 €</w:t>
            </w:r>
          </w:p>
        </w:tc>
      </w:tr>
      <w:tr w14:paraId="7798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79" w:type="dxa"/>
          </w:tcPr>
          <w:p w14:paraId="05306A37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3.</w:t>
            </w:r>
          </w:p>
        </w:tc>
        <w:tc>
          <w:tcPr>
            <w:tcW w:w="3058" w:type="dxa"/>
          </w:tcPr>
          <w:p w14:paraId="5AB98904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URBANCOOP Mletačka 12/III</w:t>
            </w:r>
          </w:p>
          <w:p w14:paraId="2D3219E5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Zagreb</w:t>
            </w:r>
          </w:p>
          <w:p w14:paraId="74272CCC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OIB:12481006783</w:t>
            </w:r>
          </w:p>
        </w:tc>
        <w:tc>
          <w:tcPr>
            <w:tcW w:w="1380" w:type="dxa"/>
          </w:tcPr>
          <w:p w14:paraId="48870F16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90-1-1</w:t>
            </w:r>
          </w:p>
        </w:tc>
        <w:tc>
          <w:tcPr>
            <w:tcW w:w="1605" w:type="dxa"/>
          </w:tcPr>
          <w:p w14:paraId="2546FF7B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31.10.2024.</w:t>
            </w:r>
          </w:p>
        </w:tc>
        <w:tc>
          <w:tcPr>
            <w:tcW w:w="1055" w:type="dxa"/>
          </w:tcPr>
          <w:p w14:paraId="35B69DB5">
            <w:pPr>
              <w:spacing w:after="0" w:line="240" w:lineRule="auto"/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</w:pPr>
            <w:r>
              <w:rPr>
                <w:rFonts w:hint="default" w:cs="Arial" w:asciiTheme="minorAscii" w:hAnsiTheme="minorAscii"/>
                <w:sz w:val="18"/>
                <w:szCs w:val="18"/>
                <w:lang w:val="hr-HR"/>
              </w:rPr>
              <w:t>1.745,19 €</w:t>
            </w:r>
          </w:p>
        </w:tc>
      </w:tr>
      <w:bookmarkEnd w:id="0"/>
    </w:tbl>
    <w:p w14:paraId="0E620281">
      <w:pPr>
        <w:ind w:firstLine="708" w:firstLineChars="0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15FC0ACB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3786ED7E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>ZA:5                       PROTIV:0                          SUZDRŽAN:0</w:t>
      </w:r>
    </w:p>
    <w:p w14:paraId="48F8E363">
      <w:pPr>
        <w:pStyle w:val="9"/>
        <w:numPr>
          <w:ilvl w:val="0"/>
          <w:numId w:val="0"/>
        </w:numPr>
        <w:spacing w:after="0" w:line="240" w:lineRule="auto"/>
        <w:contextualSpacing w:val="0"/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4E996182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661FF1C7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207F606D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491171C9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75BAFB9F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5311E4CF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423B6AE6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113EB47F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0A4937C8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06081F43">
      <w:pPr>
        <w:rPr>
          <w:rFonts w:hint="default" w:cs="Arial" w:asciiTheme="minorAscii" w:hAnsiTheme="minorAscii"/>
          <w:b/>
          <w:bCs/>
          <w:sz w:val="18"/>
          <w:szCs w:val="18"/>
          <w:lang w:val="hr-HR"/>
        </w:rPr>
      </w:pPr>
    </w:p>
    <w:p w14:paraId="2875D1EE">
      <w:pPr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              </w:t>
      </w:r>
      <w:r>
        <w:rPr>
          <w:rFonts w:hint="default" w:cs="Arial" w:asciiTheme="minorAscii" w:hAnsiTheme="minorAscii"/>
          <w:sz w:val="18"/>
          <w:szCs w:val="18"/>
        </w:rPr>
        <w:t xml:space="preserve">   Predsjednik Upravnog vijeća</w:t>
      </w:r>
      <w:r>
        <w:rPr>
          <w:rFonts w:hint="default" w:cs="Arial" w:asciiTheme="minorAscii" w:hAnsiTheme="minorAscii"/>
          <w:sz w:val="18"/>
          <w:szCs w:val="18"/>
          <w:lang w:val="hr-HR"/>
        </w:rPr>
        <w:t>:</w:t>
      </w:r>
    </w:p>
    <w:p w14:paraId="6F4371A0">
      <w:pPr>
        <w:rPr>
          <w:rFonts w:hint="default" w:cs="Arial" w:asciiTheme="minorAscii" w:hAnsiTheme="minorAscii"/>
          <w:sz w:val="18"/>
          <w:szCs w:val="18"/>
        </w:rPr>
      </w:pPr>
    </w:p>
    <w:p w14:paraId="195A4A31">
      <w:pPr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     </w:t>
      </w:r>
      <w:r>
        <w:rPr>
          <w:rFonts w:hint="default" w:cs="Arial" w:asciiTheme="minorAscii" w:hAnsiTheme="minorAscii"/>
          <w:sz w:val="18"/>
          <w:szCs w:val="18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</w:rPr>
      </w:pPr>
      <w:bookmarkStart w:id="1" w:name="_GoBack"/>
      <w:bookmarkEnd w:id="1"/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val="hr-HR" w:eastAsia="zh-CN" w:bidi="ar"/>
        </w:rPr>
      </w:pPr>
    </w:p>
    <w:p w14:paraId="4F7D3CD1">
      <w:pPr>
        <w:spacing w:after="120" w:line="240" w:lineRule="auto"/>
        <w:jc w:val="both"/>
        <w:rPr>
          <w:rFonts w:hint="default" w:cs="Arial" w:asciiTheme="minorAscii" w:hAnsiTheme="minorAscii"/>
          <w:sz w:val="18"/>
          <w:szCs w:val="18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 </w:t>
      </w:r>
    </w:p>
    <w:p w14:paraId="0E744EB4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-Odluka o raspisivanju natječaja stručni voditelj-USVOJENO</w:t>
      </w:r>
    </w:p>
    <w:p w14:paraId="4419624F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-Odluka  o početku postupka nabave vozila-USVOJENO</w:t>
      </w:r>
    </w:p>
    <w:p w14:paraId="74FDE75B">
      <w:pPr>
        <w:spacing w:after="0" w:line="240" w:lineRule="auto"/>
        <w:rPr>
          <w:rFonts w:hint="default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-Odluka o početku postupka nabave grilja i vrata na upravnoj zgradi-USVOJENO</w:t>
      </w:r>
    </w:p>
    <w:p w14:paraId="3909671D">
      <w:pPr>
        <w:spacing w:after="0" w:line="240" w:lineRule="auto"/>
        <w:rPr>
          <w:rFonts w:hint="default" w:eastAsia="Times New Roman" w:cs="Arial" w:asciiTheme="minorAscii" w:hAnsiTheme="minorAscii"/>
          <w:sz w:val="18"/>
          <w:szCs w:val="18"/>
          <w:lang w:val="hr-HR"/>
        </w:rPr>
      </w:pPr>
      <w:r>
        <w:rPr>
          <w:rFonts w:hint="default" w:cs="Arial" w:asciiTheme="minorAscii" w:hAnsiTheme="minorAscii"/>
          <w:sz w:val="18"/>
          <w:szCs w:val="18"/>
          <w:lang w:val="hr-HR"/>
        </w:rPr>
        <w:t xml:space="preserve"> -Odluka o početku postupka </w:t>
      </w:r>
      <w:r>
        <w:rPr>
          <w:rFonts w:hint="default" w:eastAsia="Times New Roman" w:cs="Arial" w:asciiTheme="minorAscii" w:hAnsiTheme="minorAscii"/>
          <w:sz w:val="18"/>
          <w:szCs w:val="18"/>
        </w:rPr>
        <w:t>nabave impregniranih elemenata za uređenje posjetiteljske infrastrukture (obnova tora i ograđivanje parkinga)</w:t>
      </w:r>
      <w:r>
        <w:rPr>
          <w:rFonts w:hint="default" w:eastAsia="Times New Roman" w:cs="Arial" w:asciiTheme="minorAscii" w:hAnsiTheme="minorAscii"/>
          <w:sz w:val="18"/>
          <w:szCs w:val="18"/>
          <w:lang w:val="hr-HR"/>
        </w:rPr>
        <w:t>- USVOJENO</w:t>
      </w:r>
    </w:p>
    <w:p w14:paraId="30E4AD24">
      <w:pPr>
        <w:spacing w:after="0" w:line="240" w:lineRule="auto"/>
        <w:rPr>
          <w:rFonts w:hint="default" w:eastAsia="Times New Roman" w:cs="Arial" w:asciiTheme="minorAscii" w:hAnsiTheme="minorAscii"/>
          <w:sz w:val="18"/>
          <w:szCs w:val="18"/>
          <w:lang w:val="hr-HR"/>
        </w:rPr>
      </w:pPr>
      <w:r>
        <w:rPr>
          <w:rFonts w:hint="default" w:eastAsia="Times New Roman" w:cs="Arial" w:asciiTheme="minorAscii" w:hAnsiTheme="minorAscii"/>
          <w:sz w:val="18"/>
          <w:szCs w:val="18"/>
          <w:lang w:val="hr-HR"/>
        </w:rPr>
        <w:t>-Odluka o zaključenju ugovora o radu na neodređeno vrijeme voditelj naplate-USVOJENO</w:t>
      </w:r>
    </w:p>
    <w:p w14:paraId="1BC610C1">
      <w:pPr>
        <w:spacing w:after="0" w:line="240" w:lineRule="auto"/>
        <w:rPr>
          <w:rFonts w:hint="default" w:eastAsia="Times New Roman" w:cs="Arial" w:asciiTheme="minorAscii" w:hAnsiTheme="minorAscii"/>
          <w:sz w:val="18"/>
          <w:szCs w:val="18"/>
          <w:lang w:val="hr-HR"/>
        </w:rPr>
      </w:pPr>
      <w:r>
        <w:rPr>
          <w:rFonts w:hint="default" w:eastAsia="Times New Roman" w:cs="Arial" w:asciiTheme="minorAscii" w:hAnsiTheme="minorAscii"/>
          <w:sz w:val="18"/>
          <w:szCs w:val="18"/>
          <w:lang w:val="hr-HR"/>
        </w:rPr>
        <w:t>-Odluka o potvrdi računa-USVOJENO</w:t>
      </w:r>
    </w:p>
    <w:p w14:paraId="4407A416">
      <w:pPr>
        <w:widowControl/>
        <w:suppressAutoHyphens w:val="0"/>
        <w:spacing w:after="160" w:line="252" w:lineRule="auto"/>
        <w:rPr>
          <w:rFonts w:hint="default" w:cs="Arial" w:asciiTheme="minorAscii" w:hAnsiTheme="minorAscii"/>
          <w:sz w:val="18"/>
          <w:szCs w:val="18"/>
          <w:lang w:val="hr-HR"/>
        </w:rPr>
      </w:pPr>
    </w:p>
    <w:p w14:paraId="0A22A77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41F5CD2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FA73517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0B6AA9D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0C504EFF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1F27B198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393BA189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2F92EB32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</w:rPr>
      </w:pPr>
    </w:p>
    <w:p w14:paraId="59B2346A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6"/>
          <w:szCs w:val="16"/>
          <w:lang w:val="hr-HR"/>
        </w:rPr>
      </w:pPr>
    </w:p>
    <w:p w14:paraId="19FF52E5">
      <w:pPr>
        <w:widowControl/>
        <w:suppressAutoHyphens w:val="0"/>
        <w:spacing w:after="160" w:line="252" w:lineRule="auto"/>
        <w:ind w:firstLine="72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6"/>
          <w:szCs w:val="16"/>
          <w:lang w:val="hr-HR" w:eastAsia="zh-CN" w:bidi="ar"/>
        </w:rPr>
        <w:t xml:space="preserve">        </w:t>
      </w: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B58C1"/>
    <w:multiLevelType w:val="multilevel"/>
    <w:tmpl w:val="388B58C1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2CA5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0E485E47"/>
    <w:rsid w:val="103D14D4"/>
    <w:rsid w:val="188E33A7"/>
    <w:rsid w:val="1B0B5BA8"/>
    <w:rsid w:val="1E4E043B"/>
    <w:rsid w:val="1F4B0FA0"/>
    <w:rsid w:val="20464114"/>
    <w:rsid w:val="21104607"/>
    <w:rsid w:val="25027B6B"/>
    <w:rsid w:val="25B07226"/>
    <w:rsid w:val="2E7A4C35"/>
    <w:rsid w:val="2EC20810"/>
    <w:rsid w:val="31953083"/>
    <w:rsid w:val="388D3950"/>
    <w:rsid w:val="3B1D3A88"/>
    <w:rsid w:val="3B8E0014"/>
    <w:rsid w:val="3BD95757"/>
    <w:rsid w:val="3D30068E"/>
    <w:rsid w:val="4263006A"/>
    <w:rsid w:val="4538349A"/>
    <w:rsid w:val="49600665"/>
    <w:rsid w:val="4C556C0F"/>
    <w:rsid w:val="502A0A06"/>
    <w:rsid w:val="52BC123F"/>
    <w:rsid w:val="54B1115E"/>
    <w:rsid w:val="55750BBD"/>
    <w:rsid w:val="5A774B87"/>
    <w:rsid w:val="63CF4B7E"/>
    <w:rsid w:val="708C47E5"/>
    <w:rsid w:val="71D334D8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7</TotalTime>
  <ScaleCrop>false</ScaleCrop>
  <LinksUpToDate>false</LinksUpToDate>
  <CharactersWithSpaces>1681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2024-10-23T12:27:00Z</cp:lastPrinted>
  <dcterms:modified xsi:type="dcterms:W3CDTF">2024-11-07T12:45:33Z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F8146C7A9ED54F219BF3F82602F1FA22_12</vt:lpwstr>
  </property>
</Properties>
</file>