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REPUBLIKA HRVATSKA</w:t>
      </w:r>
    </w:p>
    <w:p w14:paraId="471660C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ISTARSKA ŽUPANIJA</w:t>
      </w:r>
    </w:p>
    <w:p w14:paraId="5550645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OPĆINA MEDULIN</w:t>
      </w:r>
    </w:p>
    <w:p w14:paraId="5B71E910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Javna ustanova Kamenjak</w:t>
      </w:r>
    </w:p>
    <w:p w14:paraId="631D96FB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U Premanturi,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11.11.2025.</w:t>
      </w:r>
    </w:p>
    <w:p w14:paraId="60402022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1E3BF0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28CE8D1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1DBA3BBE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4A251B07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 ZAPISNIK</w:t>
      </w:r>
    </w:p>
    <w:p w14:paraId="3125DEF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</w:p>
    <w:p w14:paraId="33425881">
      <w:pPr>
        <w:jc w:val="center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57.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0FE18977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3A17888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450E4D62">
      <w:pPr>
        <w:spacing w:after="12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održane u</w:t>
      </w:r>
      <w:r>
        <w:rPr>
          <w:rFonts w:hint="default" w:ascii="Arial" w:hAnsi="Arial" w:cs="Arial"/>
          <w:sz w:val="18"/>
          <w:szCs w:val="18"/>
          <w:lang w:val="hr-HR"/>
        </w:rPr>
        <w:t xml:space="preserve"> utorak 11.11.2025.. mailom</w:t>
      </w:r>
    </w:p>
    <w:p w14:paraId="60E60958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50F8BBE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Prisutni: Elvis Počerek, Ivo Lorencin, Tomislav Hodak</w:t>
      </w:r>
      <w:r>
        <w:rPr>
          <w:rFonts w:hint="default" w:ascii="Arial" w:hAnsi="Arial" w:cs="Arial"/>
          <w:sz w:val="18"/>
          <w:szCs w:val="18"/>
          <w:lang w:val="hr-HR"/>
        </w:rPr>
        <w:t>, Toni Brkić</w:t>
      </w:r>
    </w:p>
    <w:p w14:paraId="22DEA5CF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Odsutni:</w:t>
      </w:r>
    </w:p>
    <w:p w14:paraId="3BA7A610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Ostali: </w:t>
      </w:r>
      <w:r>
        <w:rPr>
          <w:rFonts w:hint="default" w:ascii="Arial" w:hAnsi="Arial" w:cs="Arial"/>
          <w:sz w:val="18"/>
          <w:szCs w:val="18"/>
          <w:lang w:val="hr-HR"/>
        </w:rPr>
        <w:t xml:space="preserve">ravnatelj univ.spec.oec. Slobodan Belević, stručna voditeljica Nina Skoko, </w:t>
      </w:r>
      <w:r>
        <w:rPr>
          <w:rFonts w:hint="default" w:ascii="Arial" w:hAnsi="Arial" w:cs="Arial"/>
          <w:sz w:val="18"/>
          <w:szCs w:val="18"/>
        </w:rPr>
        <w:t>zapisničarka Patricija Skoko</w:t>
      </w:r>
    </w:p>
    <w:p w14:paraId="680BB2B6">
      <w:pPr>
        <w:jc w:val="both"/>
        <w:rPr>
          <w:rFonts w:hint="default" w:ascii="Arial" w:hAnsi="Arial" w:cs="Arial"/>
          <w:sz w:val="18"/>
          <w:szCs w:val="18"/>
        </w:rPr>
      </w:pPr>
    </w:p>
    <w:p w14:paraId="0E9C6DB3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</w:p>
    <w:p w14:paraId="0D39B6B8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Arial" w:hAnsi="Arial" w:cs="Arial"/>
          <w:sz w:val="18"/>
          <w:szCs w:val="18"/>
        </w:rPr>
      </w:pPr>
    </w:p>
    <w:p w14:paraId="29DDD239">
      <w:pPr>
        <w:spacing w:after="12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57</w:t>
      </w:r>
      <w:r>
        <w:rPr>
          <w:rFonts w:hint="default" w:ascii="Arial" w:hAnsi="Arial" w:cs="Arial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1D864E33">
      <w:pPr>
        <w:rPr>
          <w:rFonts w:hint="default" w:ascii="Arial" w:hAnsi="Arial" w:cs="Arial"/>
          <w:sz w:val="18"/>
          <w:szCs w:val="18"/>
        </w:rPr>
      </w:pPr>
    </w:p>
    <w:p w14:paraId="6FC81E8B">
      <w:pPr>
        <w:rPr>
          <w:rFonts w:hint="default" w:ascii="Arial" w:hAnsi="Arial" w:cs="Arial"/>
          <w:sz w:val="18"/>
          <w:szCs w:val="18"/>
        </w:rPr>
      </w:pPr>
    </w:p>
    <w:p w14:paraId="62928F29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</w:p>
    <w:p w14:paraId="121773DB">
      <w:pPr>
        <w:rPr>
          <w:rFonts w:hint="default" w:ascii="Arial" w:hAnsi="Arial" w:cs="Arial"/>
          <w:sz w:val="18"/>
          <w:szCs w:val="18"/>
          <w:lang w:val="hr-HR"/>
        </w:rPr>
      </w:pPr>
    </w:p>
    <w:p w14:paraId="23B0A958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 DNEVNI R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ED</w:t>
      </w:r>
    </w:p>
    <w:p w14:paraId="12DE50FF">
      <w:pPr>
        <w:rPr>
          <w:rFonts w:hint="default" w:ascii="Arial" w:hAnsi="Arial" w:cs="Arial"/>
          <w:b/>
          <w:bCs/>
          <w:sz w:val="18"/>
          <w:szCs w:val="18"/>
        </w:rPr>
      </w:pPr>
    </w:p>
    <w:p w14:paraId="3139D762">
      <w:pPr>
        <w:rPr>
          <w:rFonts w:hint="default" w:ascii="Arial" w:hAnsi="Arial" w:cs="Arial"/>
          <w:b/>
          <w:bCs/>
          <w:sz w:val="18"/>
          <w:szCs w:val="18"/>
        </w:rPr>
      </w:pPr>
    </w:p>
    <w:p w14:paraId="4FAA391A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712B51F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1ABE7F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ABEED0F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        1 .Potvrda računa</w:t>
      </w:r>
    </w:p>
    <w:p w14:paraId="6067CCFC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514BE336">
      <w:pPr>
        <w:widowControl/>
        <w:suppressAutoHyphens w:val="0"/>
        <w:spacing w:after="160" w:line="259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>Glasanje se odvija mailom</w:t>
      </w:r>
      <w:r>
        <w:rPr>
          <w:rFonts w:hint="default" w:ascii="Arial" w:hAnsi="Arial" w:cs="Arial"/>
          <w:sz w:val="18"/>
          <w:szCs w:val="18"/>
          <w:lang w:val="hr-HR"/>
        </w:rPr>
        <w:t xml:space="preserve"> od 08:00 -12:00 sati.</w:t>
      </w:r>
    </w:p>
    <w:p w14:paraId="611CF3E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Dnevni red jednoglasno usvojen.</w:t>
      </w:r>
    </w:p>
    <w:p w14:paraId="64E785CD">
      <w:pPr>
        <w:rPr>
          <w:rFonts w:hint="default" w:ascii="Arial" w:hAnsi="Arial" w:cs="Arial"/>
          <w:sz w:val="18"/>
          <w:szCs w:val="18"/>
          <w:lang w:val="hr-HR"/>
        </w:rPr>
      </w:pPr>
    </w:p>
    <w:p w14:paraId="2DB1F534">
      <w:pPr>
        <w:ind w:firstLine="90" w:firstLineChars="5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ZA:3                        PROTIV:0                           SUZDRŽAN:0</w:t>
      </w:r>
    </w:p>
    <w:p w14:paraId="15F0F161">
      <w:pPr>
        <w:rPr>
          <w:rFonts w:hint="default" w:ascii="Arial" w:hAnsi="Arial" w:cs="Arial"/>
          <w:sz w:val="18"/>
          <w:szCs w:val="18"/>
        </w:rPr>
      </w:pPr>
    </w:p>
    <w:p w14:paraId="32213C50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32CD4475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11610F1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6CF16C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8CB10F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D9F5723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6B8930F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28347BE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28120ABC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64D0C30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1BE9743D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737B8B9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5EB6EFBB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7CAACAE7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0B76D06F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C438CB4">
      <w:pPr>
        <w:ind w:firstLine="450" w:firstLineChars="250"/>
        <w:rPr>
          <w:rFonts w:hint="default" w:ascii="Arial" w:hAnsi="Arial" w:cs="Arial"/>
          <w:sz w:val="18"/>
          <w:szCs w:val="18"/>
          <w:lang w:val="hr-HR"/>
        </w:rPr>
      </w:pPr>
    </w:p>
    <w:p w14:paraId="3B0C9DF9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Ad.1)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Potvrda računa</w:t>
      </w:r>
    </w:p>
    <w:p w14:paraId="4FDE7B70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EB68BDB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FD3BF1">
      <w:pPr>
        <w:rPr>
          <w:rFonts w:hint="default" w:ascii="Arial" w:hAnsi="Arial" w:cs="Arial"/>
          <w:sz w:val="18"/>
          <w:szCs w:val="18"/>
        </w:rPr>
      </w:pPr>
      <w:bookmarkStart w:id="0" w:name="_Hlk90893802"/>
    </w:p>
    <w:tbl>
      <w:tblPr>
        <w:tblStyle w:val="8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814"/>
      </w:tblGrid>
      <w:tr w14:paraId="21A6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FF137F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53FBAC2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7909512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757C1D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885" w:type="dxa"/>
          </w:tcPr>
          <w:p w14:paraId="3591899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481" w:type="dxa"/>
          </w:tcPr>
          <w:p w14:paraId="2B5725A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814" w:type="dxa"/>
          </w:tcPr>
          <w:p w14:paraId="494CC81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4885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3EB7F25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51C9299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Društvo istražiavča mora 20000 milja</w:t>
            </w:r>
          </w:p>
          <w:p w14:paraId="6A9980E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Put Bokanjca 26/A, Zadar</w:t>
            </w:r>
          </w:p>
          <w:p w14:paraId="29378B9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OIB:05227327992</w:t>
            </w:r>
          </w:p>
        </w:tc>
        <w:tc>
          <w:tcPr>
            <w:tcW w:w="1885" w:type="dxa"/>
          </w:tcPr>
          <w:p w14:paraId="17C0E31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4/1/2025</w:t>
            </w:r>
          </w:p>
        </w:tc>
        <w:tc>
          <w:tcPr>
            <w:tcW w:w="1481" w:type="dxa"/>
          </w:tcPr>
          <w:p w14:paraId="266B919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08.11.2025.</w:t>
            </w:r>
          </w:p>
        </w:tc>
        <w:tc>
          <w:tcPr>
            <w:tcW w:w="1814" w:type="dxa"/>
          </w:tcPr>
          <w:p w14:paraId="609D793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1.600,00 €</w:t>
            </w: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A66A8B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Med eko servis Pomer</w:t>
            </w:r>
          </w:p>
          <w:p w14:paraId="620C9F1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Pomer 1</w:t>
            </w:r>
          </w:p>
          <w:p w14:paraId="153A85C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OIB:68103986020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2828/PP1/1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31.10.2025.</w:t>
            </w:r>
          </w:p>
        </w:tc>
        <w:tc>
          <w:tcPr>
            <w:tcW w:w="1814" w:type="dxa"/>
          </w:tcPr>
          <w:p w14:paraId="366CC71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2.464,54 €</w:t>
            </w:r>
          </w:p>
        </w:tc>
      </w:tr>
      <w:tr w14:paraId="559A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7" w:type="dxa"/>
          </w:tcPr>
          <w:p w14:paraId="137DB9C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01B7AA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CITO d.o.o.</w:t>
            </w:r>
          </w:p>
          <w:p w14:paraId="020C0AC5">
            <w:pPr>
              <w:numPr>
                <w:ilvl w:val="0"/>
                <w:numId w:val="1"/>
              </w:num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Smareglia 63, Vodnjan</w:t>
            </w:r>
          </w:p>
          <w:p w14:paraId="5E8E0137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OIB:21453655681</w:t>
            </w:r>
          </w:p>
        </w:tc>
        <w:tc>
          <w:tcPr>
            <w:tcW w:w="1885" w:type="dxa"/>
          </w:tcPr>
          <w:p w14:paraId="0DF197B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124/1/1</w:t>
            </w:r>
          </w:p>
        </w:tc>
        <w:tc>
          <w:tcPr>
            <w:tcW w:w="1481" w:type="dxa"/>
          </w:tcPr>
          <w:p w14:paraId="7EA027A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06.11.2025.</w:t>
            </w:r>
          </w:p>
        </w:tc>
        <w:tc>
          <w:tcPr>
            <w:tcW w:w="1814" w:type="dxa"/>
          </w:tcPr>
          <w:p w14:paraId="3825323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20.094,57 €</w:t>
            </w:r>
          </w:p>
        </w:tc>
      </w:tr>
      <w:bookmarkEnd w:id="0"/>
    </w:tbl>
    <w:p w14:paraId="10B11D37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59A0D19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70318902">
      <w:p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69A2287F">
      <w:pPr>
        <w:rPr>
          <w:rFonts w:hint="default" w:ascii="Arial" w:hAnsi="Arial" w:cs="Arial"/>
          <w:sz w:val="18"/>
          <w:szCs w:val="18"/>
          <w:lang w:val="hr-HR"/>
        </w:rPr>
      </w:pPr>
      <w:bookmarkStart w:id="1" w:name="_GoBack"/>
      <w:bookmarkEnd w:id="1"/>
      <w:r>
        <w:rPr>
          <w:rFonts w:hint="default" w:ascii="Arial" w:hAnsi="Arial" w:cs="Arial"/>
          <w:sz w:val="18"/>
          <w:szCs w:val="18"/>
          <w:lang w:val="hr-HR"/>
        </w:rPr>
        <w:t>Svi članovi UV suglasni su za potvrdu i plaćanje računa.</w:t>
      </w:r>
    </w:p>
    <w:p w14:paraId="6AD07950">
      <w:pPr>
        <w:rPr>
          <w:rFonts w:hint="default" w:ascii="Arial" w:hAnsi="Arial" w:cs="Arial"/>
          <w:sz w:val="18"/>
          <w:szCs w:val="18"/>
          <w:lang w:val="hr-HR"/>
        </w:rPr>
      </w:pPr>
    </w:p>
    <w:p w14:paraId="7344FCEC">
      <w:pPr>
        <w:rPr>
          <w:rFonts w:hint="default" w:ascii="Arial" w:hAnsi="Arial" w:cs="Arial"/>
          <w:sz w:val="18"/>
          <w:szCs w:val="18"/>
          <w:lang w:val="hr-HR"/>
        </w:rPr>
      </w:pPr>
    </w:p>
    <w:p w14:paraId="570A6B3D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ZA:3                        PROTIV:0                           SUZDRŽAN:0</w:t>
      </w:r>
    </w:p>
    <w:p w14:paraId="7BD548F0">
      <w:pPr>
        <w:rPr>
          <w:rFonts w:hint="default" w:ascii="Arial" w:hAnsi="Arial" w:cs="Arial"/>
          <w:sz w:val="18"/>
          <w:szCs w:val="18"/>
          <w:lang w:val="hr-HR"/>
        </w:rPr>
      </w:pPr>
    </w:p>
    <w:p w14:paraId="43FC0355">
      <w:pPr>
        <w:rPr>
          <w:rFonts w:hint="default" w:ascii="Arial" w:hAnsi="Arial" w:cs="Arial"/>
          <w:sz w:val="18"/>
          <w:szCs w:val="18"/>
        </w:rPr>
      </w:pPr>
    </w:p>
    <w:p w14:paraId="3D77D5E4">
      <w:pPr>
        <w:rPr>
          <w:rFonts w:hint="default" w:ascii="Arial" w:hAnsi="Arial" w:cs="Arial"/>
          <w:sz w:val="18"/>
          <w:szCs w:val="18"/>
        </w:rPr>
      </w:pPr>
    </w:p>
    <w:p w14:paraId="3165E17B">
      <w:pPr>
        <w:rPr>
          <w:rFonts w:hint="default" w:ascii="Arial" w:hAnsi="Arial" w:cs="Arial"/>
          <w:sz w:val="18"/>
          <w:szCs w:val="18"/>
        </w:rPr>
      </w:pPr>
    </w:p>
    <w:p w14:paraId="4A61E84E">
      <w:pPr>
        <w:rPr>
          <w:rFonts w:hint="default" w:ascii="Arial" w:hAnsi="Arial" w:cs="Arial"/>
          <w:sz w:val="18"/>
          <w:szCs w:val="18"/>
        </w:rPr>
      </w:pPr>
    </w:p>
    <w:p w14:paraId="121F9901">
      <w:pPr>
        <w:rPr>
          <w:rFonts w:hint="default" w:ascii="Arial" w:hAnsi="Arial" w:cs="Arial"/>
          <w:sz w:val="18"/>
          <w:szCs w:val="18"/>
        </w:rPr>
      </w:pPr>
    </w:p>
    <w:p w14:paraId="2F94BAA4">
      <w:pPr>
        <w:rPr>
          <w:rFonts w:hint="default" w:ascii="Arial" w:hAnsi="Arial" w:cs="Arial"/>
          <w:sz w:val="18"/>
          <w:szCs w:val="18"/>
        </w:rPr>
      </w:pPr>
    </w:p>
    <w:p w14:paraId="0E6CAF57">
      <w:pPr>
        <w:rPr>
          <w:rFonts w:hint="default" w:ascii="Arial" w:hAnsi="Arial" w:cs="Arial"/>
          <w:sz w:val="18"/>
          <w:szCs w:val="18"/>
        </w:rPr>
      </w:pPr>
    </w:p>
    <w:p w14:paraId="72284381">
      <w:pPr>
        <w:rPr>
          <w:rFonts w:hint="default" w:ascii="Arial" w:hAnsi="Arial" w:cs="Arial"/>
          <w:sz w:val="18"/>
          <w:szCs w:val="18"/>
        </w:rPr>
      </w:pPr>
    </w:p>
    <w:p w14:paraId="2875D1E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</w:t>
      </w:r>
      <w:r>
        <w:rPr>
          <w:rFonts w:hint="default" w:ascii="Arial" w:hAnsi="Arial" w:cs="Arial"/>
          <w:sz w:val="18"/>
          <w:szCs w:val="18"/>
        </w:rPr>
        <w:t xml:space="preserve">   Predsjednik Upravnog vijeća</w:t>
      </w:r>
      <w:r>
        <w:rPr>
          <w:rFonts w:hint="default" w:ascii="Arial" w:hAnsi="Arial" w:cs="Arial"/>
          <w:sz w:val="18"/>
          <w:szCs w:val="18"/>
          <w:lang w:val="hr-HR"/>
        </w:rPr>
        <w:t>:</w:t>
      </w:r>
    </w:p>
    <w:p w14:paraId="6F4371A0">
      <w:pPr>
        <w:rPr>
          <w:rFonts w:hint="default" w:ascii="Arial" w:hAnsi="Arial" w:cs="Arial"/>
          <w:sz w:val="18"/>
          <w:szCs w:val="18"/>
        </w:rPr>
      </w:pPr>
    </w:p>
    <w:p w14:paraId="195A4A31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</w:t>
      </w:r>
      <w:r>
        <w:rPr>
          <w:rFonts w:hint="default" w:ascii="Arial" w:hAnsi="Arial" w:cs="Arial"/>
          <w:sz w:val="18"/>
          <w:szCs w:val="18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70FAF3E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10B0265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41AFF035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4C2D8C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3ED1CB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65E2761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95283C1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91DB158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6A761E23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9516401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238BFB7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E7C087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7CE7DA87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33D22E4C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5DFAEDE2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B8C15D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9FF52E5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5CC7F7A6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799CD80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5CD206B9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5330F39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7962698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00275E7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78E997A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4B8B01D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SAŽETAK DONESENIH ODLUKA I NALOŽENIH RADNJI S ROKOVIMA IZVRŠENJA</w:t>
      </w:r>
    </w:p>
    <w:p w14:paraId="607A974E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-  </w:t>
      </w:r>
      <w:r>
        <w:rPr>
          <w:rFonts w:hint="default" w:ascii="Arial" w:hAnsi="Arial" w:cs="Arial"/>
          <w:b w:val="0"/>
          <w:bCs w:val="0"/>
          <w:sz w:val="18"/>
          <w:szCs w:val="18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Odluka kojom se </w:t>
      </w:r>
      <w:r>
        <w:rPr>
          <w:rFonts w:hint="default" w:ascii="Arial" w:hAnsi="Arial" w:cs="Arial"/>
          <w:sz w:val="18"/>
          <w:szCs w:val="18"/>
          <w:lang w:val="hr-HR"/>
        </w:rPr>
        <w:t xml:space="preserve"> usvajaju godišnji  financijski  izvještaji i izvješće neovisnog revizora  za 2024. godinu-USVOJENO</w:t>
      </w:r>
    </w:p>
    <w:p w14:paraId="428EED8B">
      <w:pPr>
        <w:pStyle w:val="9"/>
        <w:numPr>
          <w:ilvl w:val="0"/>
          <w:numId w:val="0"/>
        </w:numPr>
        <w:ind w:firstLine="810" w:firstLineChars="450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66BDD29">
      <w:pPr>
        <w:rPr>
          <w:rFonts w:hint="default" w:ascii="Arial" w:hAnsi="Arial" w:cs="Arial"/>
          <w:sz w:val="18"/>
          <w:szCs w:val="18"/>
          <w:lang w:val="hr-HR"/>
        </w:rPr>
      </w:pPr>
    </w:p>
    <w:p w14:paraId="18AF1B96">
      <w:pPr>
        <w:widowControl/>
        <w:suppressAutoHyphens w:val="0"/>
        <w:spacing w:after="160" w:line="259" w:lineRule="auto"/>
        <w:rPr>
          <w:rFonts w:hint="default" w:ascii="Arial" w:hAnsi="Arial" w:cs="Arial" w:eastAsiaTheme="minorHAnsi"/>
          <w:kern w:val="0"/>
          <w:sz w:val="18"/>
          <w:szCs w:val="18"/>
          <w:lang w:eastAsia="en-US" w:bidi="ar-SA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8BF030"/>
    <w:multiLevelType w:val="singleLevel"/>
    <w:tmpl w:val="CA8BF030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E4E043B"/>
    <w:rsid w:val="20464114"/>
    <w:rsid w:val="25027B6B"/>
    <w:rsid w:val="25B07226"/>
    <w:rsid w:val="2EC20810"/>
    <w:rsid w:val="3D30068E"/>
    <w:rsid w:val="43F0774F"/>
    <w:rsid w:val="502A0A06"/>
    <w:rsid w:val="55750BBD"/>
    <w:rsid w:val="6A7F38F7"/>
    <w:rsid w:val="704F2777"/>
    <w:rsid w:val="71ED1A22"/>
    <w:rsid w:val="79A37F96"/>
    <w:rsid w:val="7E91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0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2022-03-24T11:18:00Z</cp:lastPrinted>
  <dcterms:modified xsi:type="dcterms:W3CDTF">2025-11-11T12:02:48Z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